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jc w:val="center"/>
        <w:rPr>
          <w:color w:val="36363d"/>
          <w:sz w:val="36"/>
          <w:szCs w:val="36"/>
          <w:highlight w:val="none"/>
        </w:rPr>
      </w:pPr>
      <w:bookmarkStart w:id="0" w:name="_GoBack"/>
      <w:bookmarkEnd w:id="0"/>
      <w:r>
        <w:rPr>
          <w:color w:val="36363d"/>
          <w:sz w:val="36"/>
          <w:szCs w:val="36"/>
          <w:highlight w:val="none"/>
        </w:rPr>
        <w:t>DATASET INSPECTION REPORT</w:t>
      </w:r>
    </w:p>
    <w:p w14:paraId="EB50A00C">
      <w:pPr>
        <w:pStyle w:val="style0"/>
        <w:spacing w:lineRule="auto" w:line="240"/>
        <w:rPr>
          <w:lang w:val="en-US"/>
        </w:rPr>
      </w:pPr>
      <w:r>
        <w:rPr>
          <w:i/>
          <w:iCs/>
          <w:lang w:val="en-US"/>
        </w:rPr>
        <w:t>Dataset</w:t>
      </w:r>
      <w:r>
        <w:rPr>
          <w:lang w:val="en-US"/>
        </w:rPr>
        <w:t xml:space="preserve">: Telco Customer Churn Dataset   </w:t>
      </w:r>
    </w:p>
    <w:p w14:paraId="9F2831C1">
      <w:pPr>
        <w:pStyle w:val="style0"/>
        <w:spacing w:lineRule="auto" w:line="240"/>
        <w:rPr/>
      </w:pPr>
      <w:r>
        <w:rPr>
          <w:lang w:val="en-US"/>
        </w:rPr>
        <w:fldChar w:fldCharType="begin"/>
      </w:r>
      <w:r>
        <w:rPr>
          <w:lang w:val="en-US"/>
        </w:rPr>
        <w:instrText xml:space="preserve"> HYPERLINK "http://https://www.kaggle.com/datasets/blastchar/telco-customer-churn" \o "http://https://www.kaggle.com/datasets/blastchar/telco-customer-churn"</w:instrText>
      </w:r>
      <w:r>
        <w:rPr>
          <w:lang w:val="en-US"/>
        </w:rPr>
        <w:fldChar w:fldCharType="separate"/>
      </w:r>
      <w:r>
        <w:rPr>
          <w:rStyle w:val="style85"/>
          <w:lang w:val="en-US"/>
        </w:rPr>
        <w:t>https://www.kaggle.com/datasets/blastchar/telco-customer-churn</w:t>
      </w:r>
      <w:r>
        <w:rPr>
          <w:lang w:val="en-US"/>
        </w:rPr>
        <w:fldChar w:fldCharType="end"/>
      </w:r>
    </w:p>
    <w:p w14:paraId="31A33437">
      <w:pPr>
        <w:pStyle w:val="style0"/>
        <w:spacing w:lineRule="auto" w:line="240"/>
        <w:rPr>
          <w:b/>
          <w:bCs/>
        </w:rPr>
      </w:pPr>
      <w:r>
        <w:rPr>
          <w:b/>
          <w:bCs/>
        </w:rPr>
        <w:t>Introduction</w:t>
      </w:r>
    </w:p>
    <w:p w14:paraId="94232641">
      <w:pPr>
        <w:pStyle w:val="style0"/>
        <w:rPr/>
      </w:pPr>
      <w:r>
        <w:t>The dataset inspection was conducted as part of the Week 1 Machine Learning Internship assignment for the Customer Churn Prediction Project. The dataset used is the Telco Customer Churn Dataset, which contains customer information and a target variable indicating whether each customer churned. The assignment requires the dataset to be inspected for data types, missing values, and duplicate records.</w:t>
      </w:r>
    </w:p>
    <w:p w14:paraId="99C4A23C">
      <w:pPr>
        <w:pStyle w:val="style0"/>
        <w:rPr>
          <w:b/>
          <w:bCs/>
        </w:rPr>
      </w:pPr>
      <w:r>
        <w:rPr>
          <w:b/>
          <w:bCs/>
        </w:rPr>
        <w:t>Dataset Overview</w:t>
      </w:r>
    </w:p>
    <w:p w14:paraId="615CF207">
      <w:pPr>
        <w:pStyle w:val="style0"/>
        <w:rPr/>
      </w:pPr>
      <w:r>
        <w:t>The dataset contains 7,043 customer records and 21 columns. The columns contain information</w:t>
      </w:r>
      <w:r>
        <w:rPr>
          <w:lang w:val="en-US"/>
        </w:rPr>
        <w:t xml:space="preserve"> </w:t>
      </w:r>
      <w:r>
        <w:t>about customer demographics, services, account information, billing information, and customer churn.</w:t>
      </w:r>
    </w:p>
    <w:p w14:paraId="258F75D5">
      <w:pPr>
        <w:pStyle w:val="style0"/>
        <w:rPr/>
      </w:pPr>
      <w:r>
        <w:t>The target variable is "Churn", which indicates whether a customer left the company.</w:t>
      </w:r>
    </w:p>
    <w:p w14:paraId="F56CDAEB">
      <w:pPr>
        <w:pStyle w:val="style0"/>
        <w:rPr/>
      </w:pPr>
      <w:r>
        <w:t>The dataset contains the following columns:</w:t>
      </w:r>
    </w:p>
    <w:p w14:paraId="A33B3AC6">
      <w:pPr>
        <w:pStyle w:val="style0"/>
        <w:rPr/>
      </w:pPr>
      <w:r>
        <w:t>- "customerID"</w:t>
      </w:r>
    </w:p>
    <w:p w14:paraId="27B3F723">
      <w:pPr>
        <w:pStyle w:val="style0"/>
        <w:rPr/>
      </w:pPr>
      <w:r>
        <w:t>- "gender"</w:t>
      </w:r>
    </w:p>
    <w:p w14:paraId="3EB7F47B">
      <w:pPr>
        <w:pStyle w:val="style0"/>
        <w:rPr/>
      </w:pPr>
      <w:r>
        <w:t>- "SeniorCitizen"</w:t>
      </w:r>
    </w:p>
    <w:p w14:paraId="36C25A6E">
      <w:pPr>
        <w:pStyle w:val="style0"/>
        <w:rPr/>
      </w:pPr>
      <w:r>
        <w:t>- "Partner"</w:t>
      </w:r>
    </w:p>
    <w:p w14:paraId="7E537EEF">
      <w:pPr>
        <w:pStyle w:val="style0"/>
        <w:rPr/>
      </w:pPr>
      <w:r>
        <w:t>- "Dependents"</w:t>
      </w:r>
    </w:p>
    <w:p w14:paraId="C3364607">
      <w:pPr>
        <w:pStyle w:val="style0"/>
        <w:rPr/>
      </w:pPr>
      <w:r>
        <w:t>- "tenure"</w:t>
      </w:r>
    </w:p>
    <w:p w14:paraId="502ABB7A">
      <w:pPr>
        <w:pStyle w:val="style0"/>
        <w:rPr/>
      </w:pPr>
      <w:r>
        <w:t>- "PhoneService"</w:t>
      </w:r>
    </w:p>
    <w:p w14:paraId="73B6CAEC">
      <w:pPr>
        <w:pStyle w:val="style0"/>
        <w:rPr/>
      </w:pPr>
      <w:r>
        <w:t>- "MultipleLines"</w:t>
      </w:r>
    </w:p>
    <w:p w14:paraId="E7D69DAC">
      <w:pPr>
        <w:pStyle w:val="style0"/>
        <w:rPr/>
      </w:pPr>
      <w:r>
        <w:t>- "InternetService"</w:t>
      </w:r>
    </w:p>
    <w:p w14:paraId="D33CDCC9">
      <w:pPr>
        <w:pStyle w:val="style0"/>
        <w:rPr/>
      </w:pPr>
      <w:r>
        <w:t>- "OnlineSecurity"</w:t>
      </w:r>
    </w:p>
    <w:p w14:paraId="8D4C4457">
      <w:pPr>
        <w:pStyle w:val="style0"/>
        <w:rPr/>
      </w:pPr>
      <w:r>
        <w:t>- "OnlineBackup"</w:t>
      </w:r>
    </w:p>
    <w:p w14:paraId="417D6C15">
      <w:pPr>
        <w:pStyle w:val="style0"/>
        <w:rPr/>
      </w:pPr>
      <w:r>
        <w:t>- "DeviceProtection"</w:t>
      </w:r>
    </w:p>
    <w:p w14:paraId="25DF5983">
      <w:pPr>
        <w:pStyle w:val="style0"/>
        <w:rPr/>
      </w:pPr>
      <w:r>
        <w:t>- "TechSupport"</w:t>
      </w:r>
    </w:p>
    <w:p w14:paraId="657A2CF6">
      <w:pPr>
        <w:pStyle w:val="style0"/>
        <w:rPr/>
      </w:pPr>
      <w:r>
        <w:t>- "StreamingTV"</w:t>
      </w:r>
    </w:p>
    <w:p w14:paraId="C3783759">
      <w:pPr>
        <w:pStyle w:val="style0"/>
        <w:rPr/>
      </w:pPr>
      <w:r>
        <w:t>- "StreamingMovies"</w:t>
      </w:r>
    </w:p>
    <w:p w14:paraId="DA209CA0">
      <w:pPr>
        <w:pStyle w:val="style0"/>
        <w:rPr/>
      </w:pPr>
      <w:r>
        <w:t>- "Contract"</w:t>
      </w:r>
    </w:p>
    <w:p w14:paraId="9E945580">
      <w:pPr>
        <w:pStyle w:val="style0"/>
        <w:rPr/>
      </w:pPr>
      <w:r>
        <w:t>- "PaperlessBilling"</w:t>
      </w:r>
    </w:p>
    <w:p w14:paraId="2D8FC0F9">
      <w:pPr>
        <w:pStyle w:val="style0"/>
        <w:rPr/>
      </w:pPr>
      <w:r>
        <w:t>- "PaymentMethod"</w:t>
      </w:r>
    </w:p>
    <w:p w14:paraId="800CC41F">
      <w:pPr>
        <w:pStyle w:val="style0"/>
        <w:rPr/>
      </w:pPr>
      <w:r>
        <w:t>- "MonthlyCharges"</w:t>
      </w:r>
    </w:p>
    <w:p w14:paraId="BC0A2234">
      <w:pPr>
        <w:pStyle w:val="style0"/>
        <w:rPr/>
      </w:pPr>
      <w:r>
        <w:t>- "TotalCharges"</w:t>
      </w:r>
    </w:p>
    <w:p w14:paraId="6FA49554">
      <w:pPr>
        <w:pStyle w:val="style0"/>
        <w:rPr/>
      </w:pPr>
      <w:r>
        <w:t>- "Churn"</w:t>
      </w:r>
    </w:p>
    <w:p w14:paraId="7BCFED85">
      <w:pPr>
        <w:pStyle w:val="style0"/>
        <w:rPr/>
      </w:pPr>
    </w:p>
    <w:p w14:paraId="01C0AB3C">
      <w:pPr>
        <w:pStyle w:val="style0"/>
        <w:rPr>
          <w:b/>
          <w:bCs/>
        </w:rPr>
      </w:pPr>
      <w:r>
        <w:rPr>
          <w:b/>
          <w:bCs/>
        </w:rPr>
        <w:t>Data Type Inspection</w:t>
      </w:r>
    </w:p>
    <w:p w14:paraId="6DA4F8AD">
      <w:pPr>
        <w:pStyle w:val="style0"/>
        <w:rPr/>
      </w:pPr>
      <w:r>
        <w:t>The inspection identified three main data types: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5480"/>
        <w:gridCol w:w="5480"/>
      </w:tblGrid>
      <w:tr w14:paraId="040FCCD2">
        <w:trPr/>
        <w:tc>
          <w:tcPr>
            <w:tcW w:w="5480" w:type="dxa"/>
            <w:tcBorders>
              <w:top w:val="single" w:sz="4" w:space="0" w:color="auto"/>
              <w:left w:val="single" w:sz="4" w:space="0" w:color="auto"/>
              <w:bottom w:val="single" w:sz="4" w:space="0" w:color="auto"/>
              <w:right w:val="single" w:sz="4" w:space="0" w:color="auto"/>
            </w:tcBorders>
          </w:tcPr>
          <w:p w14:paraId="586F4B4C">
            <w:pPr>
              <w:pStyle w:val="style0"/>
              <w:rPr/>
            </w:pPr>
            <w:r>
              <w:rPr>
                <w:lang w:val="en-US"/>
              </w:rPr>
              <w:t>Data type</w:t>
            </w:r>
          </w:p>
        </w:tc>
        <w:tc>
          <w:tcPr>
            <w:tcW w:w="5480" w:type="dxa"/>
            <w:tcBorders>
              <w:top w:val="single" w:sz="4" w:space="0" w:color="auto"/>
              <w:left w:val="single" w:sz="4" w:space="0" w:color="auto"/>
              <w:bottom w:val="single" w:sz="4" w:space="0" w:color="auto"/>
              <w:right w:val="single" w:sz="4" w:space="0" w:color="auto"/>
            </w:tcBorders>
          </w:tcPr>
          <w:p w14:paraId="267F507E">
            <w:pPr>
              <w:pStyle w:val="style0"/>
              <w:rPr/>
            </w:pPr>
            <w:r>
              <w:rPr>
                <w:lang w:val="en-US"/>
              </w:rPr>
              <w:t xml:space="preserve">Number of Columns </w:t>
            </w:r>
          </w:p>
        </w:tc>
      </w:tr>
      <w:tr w14:paraId="FC63CA4B">
        <w:tblPrEx/>
        <w:trPr/>
        <w:tc>
          <w:tcPr>
            <w:tcW w:w="5480" w:type="dxa"/>
            <w:tcBorders>
              <w:top w:val="single" w:sz="4" w:space="0" w:color="auto"/>
              <w:left w:val="single" w:sz="4" w:space="0" w:color="auto"/>
              <w:bottom w:val="single" w:sz="4" w:space="0" w:color="auto"/>
              <w:right w:val="single" w:sz="4" w:space="0" w:color="auto"/>
            </w:tcBorders>
          </w:tcPr>
          <w:p w14:paraId="671486B6">
            <w:pPr>
              <w:pStyle w:val="style0"/>
              <w:rPr/>
            </w:pPr>
            <w:r>
              <w:rPr>
                <w:lang w:val="en-US"/>
              </w:rPr>
              <w:t>Object</w:t>
            </w:r>
          </w:p>
        </w:tc>
        <w:tc>
          <w:tcPr>
            <w:tcW w:w="5480" w:type="dxa"/>
            <w:tcBorders>
              <w:top w:val="single" w:sz="4" w:space="0" w:color="auto"/>
              <w:left w:val="single" w:sz="4" w:space="0" w:color="auto"/>
              <w:bottom w:val="single" w:sz="4" w:space="0" w:color="auto"/>
              <w:right w:val="single" w:sz="4" w:space="0" w:color="auto"/>
            </w:tcBorders>
          </w:tcPr>
          <w:p w14:paraId="B870E99B">
            <w:pPr>
              <w:pStyle w:val="style0"/>
              <w:rPr/>
            </w:pPr>
            <w:r>
              <w:rPr>
                <w:lang w:val="en-US"/>
              </w:rPr>
              <w:t>17</w:t>
            </w:r>
          </w:p>
        </w:tc>
      </w:tr>
      <w:tr w14:paraId="156E8155">
        <w:tblPrEx/>
        <w:trPr/>
        <w:tc>
          <w:tcPr>
            <w:tcW w:w="5480" w:type="dxa"/>
            <w:tcBorders>
              <w:top w:val="single" w:sz="4" w:space="0" w:color="auto"/>
              <w:left w:val="single" w:sz="4" w:space="0" w:color="auto"/>
              <w:bottom w:val="single" w:sz="4" w:space="0" w:color="auto"/>
              <w:right w:val="single" w:sz="4" w:space="0" w:color="auto"/>
            </w:tcBorders>
          </w:tcPr>
          <w:p w14:paraId="B84FC5EE">
            <w:pPr>
              <w:pStyle w:val="style0"/>
              <w:rPr/>
            </w:pPr>
            <w:r>
              <w:rPr>
                <w:lang w:val="en-US"/>
              </w:rPr>
              <w:t>Integer</w:t>
            </w:r>
          </w:p>
        </w:tc>
        <w:tc>
          <w:tcPr>
            <w:tcW w:w="5480" w:type="dxa"/>
            <w:tcBorders>
              <w:top w:val="single" w:sz="4" w:space="0" w:color="auto"/>
              <w:left w:val="single" w:sz="4" w:space="0" w:color="auto"/>
              <w:bottom w:val="single" w:sz="4" w:space="0" w:color="auto"/>
              <w:right w:val="single" w:sz="4" w:space="0" w:color="auto"/>
            </w:tcBorders>
          </w:tcPr>
          <w:p w14:paraId="4DAA1EAE">
            <w:pPr>
              <w:pStyle w:val="style0"/>
              <w:rPr/>
            </w:pPr>
            <w:r>
              <w:rPr>
                <w:lang w:val="en-US"/>
              </w:rPr>
              <w:t>2</w:t>
            </w:r>
          </w:p>
        </w:tc>
      </w:tr>
      <w:tr w14:paraId="67113331">
        <w:tblPrEx/>
        <w:trPr/>
        <w:tc>
          <w:tcPr>
            <w:tcW w:w="5480" w:type="dxa"/>
            <w:tcBorders>
              <w:top w:val="single" w:sz="4" w:space="0" w:color="auto"/>
              <w:left w:val="single" w:sz="4" w:space="0" w:color="auto"/>
              <w:bottom w:val="single" w:sz="4" w:space="0" w:color="auto"/>
              <w:right w:val="single" w:sz="4" w:space="0" w:color="auto"/>
            </w:tcBorders>
          </w:tcPr>
          <w:p w14:paraId="A11A4D4E">
            <w:pPr>
              <w:pStyle w:val="style0"/>
              <w:rPr/>
            </w:pPr>
            <w:r>
              <w:rPr>
                <w:lang w:val="en-US"/>
              </w:rPr>
              <w:t>Float</w:t>
            </w:r>
          </w:p>
        </w:tc>
        <w:tc>
          <w:tcPr>
            <w:tcW w:w="5480" w:type="dxa"/>
            <w:tcBorders>
              <w:top w:val="single" w:sz="4" w:space="0" w:color="auto"/>
              <w:left w:val="single" w:sz="4" w:space="0" w:color="auto"/>
              <w:bottom w:val="single" w:sz="4" w:space="0" w:color="auto"/>
              <w:right w:val="single" w:sz="4" w:space="0" w:color="auto"/>
            </w:tcBorders>
          </w:tcPr>
          <w:p w14:paraId="BE76139E">
            <w:pPr>
              <w:pStyle w:val="style0"/>
              <w:rPr/>
            </w:pPr>
            <w:r>
              <w:rPr>
                <w:lang w:val="en-US"/>
              </w:rPr>
              <w:t>2</w:t>
            </w:r>
          </w:p>
        </w:tc>
      </w:tr>
    </w:tbl>
    <w:p w14:paraId="083E07B9">
      <w:pPr>
        <w:pStyle w:val="style0"/>
        <w:rPr/>
      </w:pPr>
      <w:r>
        <w:t>The categorical variables are mainly stored as "object" data types, while "SeniorCitizen" and "tenure" are stored as integers. "MonthlyCharges" and "TotalCharges" are stored as floating-point numerical variables.</w:t>
      </w:r>
    </w:p>
    <w:p w14:paraId="5EEE1BA4">
      <w:pPr>
        <w:pStyle w:val="style0"/>
        <w:rPr/>
      </w:pPr>
      <w:r>
        <w:t>The "TotalCharges" column was found to have a "float64" data type after conversion to a numerical format.</w:t>
      </w:r>
    </w:p>
    <w:p w14:paraId="7FE338D1">
      <w:pPr>
        <w:pStyle w:val="style0"/>
        <w:rPr/>
      </w:pPr>
    </w:p>
    <w:p w14:paraId="917C52B8">
      <w:pPr>
        <w:pStyle w:val="style0"/>
        <w:rPr>
          <w:b/>
          <w:bCs/>
        </w:rPr>
      </w:pPr>
      <w:r>
        <w:rPr>
          <w:b/>
          <w:bCs/>
        </w:rPr>
        <w:t>Missing Value Inspection</w:t>
      </w:r>
    </w:p>
    <w:p w14:paraId="BB73C770">
      <w:pPr>
        <w:pStyle w:val="style0"/>
        <w:rPr/>
      </w:pPr>
      <w:r>
        <w:t>Missing-value analysis was performed using the "isnull()" method.</w:t>
      </w:r>
    </w:p>
    <w:p w14:paraId="CFA88ED1">
      <w:pPr>
        <w:pStyle w:val="style0"/>
        <w:rPr/>
      </w:pPr>
      <w:r>
        <w:t>The inspection showed that most columns contain no missing values. However, the "TotalCharges" column contains 11 missing values.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5480"/>
        <w:gridCol w:w="5480"/>
      </w:tblGrid>
      <w:tr w14:paraId="5148595F">
        <w:trPr/>
        <w:tc>
          <w:tcPr>
            <w:tcW w:w="5480" w:type="dxa"/>
            <w:tcBorders>
              <w:top w:val="single" w:sz="4" w:space="0" w:color="auto"/>
              <w:left w:val="single" w:sz="4" w:space="0" w:color="auto"/>
              <w:bottom w:val="single" w:sz="4" w:space="0" w:color="auto"/>
              <w:right w:val="single" w:sz="4" w:space="0" w:color="auto"/>
            </w:tcBorders>
          </w:tcPr>
          <w:p w14:paraId="65C25CCD">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Column</w:t>
            </w:r>
          </w:p>
        </w:tc>
        <w:tc>
          <w:tcPr>
            <w:tcW w:w="5480" w:type="dxa"/>
            <w:tcBorders>
              <w:top w:val="single" w:sz="4" w:space="0" w:color="auto"/>
              <w:left w:val="single" w:sz="4" w:space="0" w:color="auto"/>
              <w:bottom w:val="single" w:sz="4" w:space="0" w:color="auto"/>
              <w:right w:val="single" w:sz="4" w:space="0" w:color="auto"/>
            </w:tcBorders>
          </w:tcPr>
          <w:p w14:paraId="0025CB89">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Values</w:t>
            </w:r>
          </w:p>
        </w:tc>
      </w:tr>
      <w:tr w14:paraId="CCEDB2B6">
        <w:tblPrEx/>
        <w:trPr/>
        <w:tc>
          <w:tcPr>
            <w:tcW w:w="5480" w:type="dxa"/>
            <w:tcBorders>
              <w:top w:val="single" w:sz="4" w:space="0" w:color="auto"/>
              <w:left w:val="single" w:sz="4" w:space="0" w:color="auto"/>
              <w:bottom w:val="single" w:sz="4" w:space="0" w:color="auto"/>
              <w:right w:val="single" w:sz="4" w:space="0" w:color="auto"/>
            </w:tcBorders>
          </w:tcPr>
          <w:p w14:paraId="981E29D4">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"TotalCharges"</w:t>
            </w:r>
          </w:p>
        </w:tc>
        <w:tc>
          <w:tcPr>
            <w:tcW w:w="5480" w:type="dxa"/>
            <w:tcBorders>
              <w:top w:val="single" w:sz="4" w:space="0" w:color="auto"/>
              <w:left w:val="single" w:sz="4" w:space="0" w:color="auto"/>
              <w:bottom w:val="single" w:sz="4" w:space="0" w:color="auto"/>
              <w:right w:val="single" w:sz="4" w:space="0" w:color="auto"/>
            </w:tcBorders>
          </w:tcPr>
          <w:p w14:paraId="98E9D70B">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w:t>
            </w:r>
          </w:p>
        </w:tc>
      </w:tr>
      <w:tr w14:paraId="A2AD17BC">
        <w:tblPrEx/>
        <w:trPr/>
        <w:tc>
          <w:tcPr>
            <w:tcW w:w="5480" w:type="dxa"/>
            <w:tcBorders>
              <w:top w:val="single" w:sz="4" w:space="0" w:color="auto"/>
              <w:left w:val="single" w:sz="4" w:space="0" w:color="auto"/>
              <w:bottom w:val="single" w:sz="4" w:space="0" w:color="auto"/>
              <w:right w:val="single" w:sz="4" w:space="0" w:color="auto"/>
            </w:tcBorders>
          </w:tcPr>
          <w:p w14:paraId="65D2E52F">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columns</w:t>
            </w:r>
          </w:p>
        </w:tc>
        <w:tc>
          <w:tcPr>
            <w:tcW w:w="5480" w:type="dxa"/>
            <w:tcBorders>
              <w:top w:val="single" w:sz="4" w:space="0" w:color="auto"/>
              <w:left w:val="single" w:sz="4" w:space="0" w:color="auto"/>
              <w:bottom w:val="single" w:sz="4" w:space="0" w:color="auto"/>
              <w:right w:val="single" w:sz="4" w:space="0" w:color="auto"/>
            </w:tcBorders>
          </w:tcPr>
          <w:p w14:paraId="B0D1FBC2">
            <w:pPr>
              <w:pStyle w:val="style0"/>
              <w:rPr/>
            </w:pPr>
            <w:r>
              <w:rPr>
                <w:lang w:val="en-US"/>
              </w:rPr>
              <w:t>0</w:t>
            </w:r>
          </w:p>
        </w:tc>
      </w:tr>
    </w:tbl>
    <w:p w14:paraId="E685114A">
      <w:pPr>
        <w:pStyle w:val="style0"/>
        <w:rPr/>
      </w:pPr>
      <w:r>
        <w:t>The 11 affected records were examined further. The customers with missing "TotalCharges" have a tenure of 0 months, while their "MonthlyCharges" values are available.</w:t>
      </w:r>
      <w:r>
        <w:rPr>
          <w:lang w:val="en-US"/>
        </w:rPr>
        <w:t xml:space="preserve">   </w:t>
      </w:r>
      <w:r>
        <w:t>Because these records have zero tenure and therefore have no accumulated charges represented in the dataset, the missing "TotalCharges" values will be treated as 0 during preprocessing.</w:t>
      </w:r>
    </w:p>
    <w:p w14:paraId="64281B59">
      <w:pPr>
        <w:pStyle w:val="style0"/>
        <w:rPr/>
      </w:pPr>
      <w:r>
        <w:t>The missing values represent approximately 0.16% of the entire dataset, so their proportion is very small.</w:t>
      </w:r>
    </w:p>
    <w:p w14:paraId="AFA14455">
      <w:pPr>
        <w:pStyle w:val="style0"/>
        <w:rPr/>
      </w:pPr>
    </w:p>
    <w:p w14:paraId="43FE4054">
      <w:pPr>
        <w:pStyle w:val="style0"/>
        <w:rPr/>
      </w:pPr>
      <w:r>
        <w:rPr>
          <w:b/>
          <w:bCs/>
        </w:rPr>
        <w:t>Duplicate Inspection</w:t>
      </w:r>
    </w:p>
    <w:p w14:paraId="5B5943CC">
      <w:pPr>
        <w:pStyle w:val="style0"/>
        <w:rPr/>
      </w:pPr>
      <w:r>
        <w:t>Two forms of duplication were investigated.</w:t>
      </w:r>
    </w:p>
    <w:p w14:paraId="917604C9">
      <w:pPr>
        <w:pStyle w:val="style179"/>
        <w:numPr>
          <w:ilvl w:val="0"/>
          <w:numId w:val="1"/>
        </w:numPr>
        <w:rPr/>
      </w:pPr>
      <w:r>
        <w:t>Duplicate Rows</w:t>
      </w:r>
    </w:p>
    <w:p w14:paraId="CAABF2BE">
      <w:pPr>
        <w:pStyle w:val="style0"/>
        <w:rPr/>
      </w:pPr>
      <w:r>
        <w:t>The following check was performed:</w:t>
      </w:r>
    </w:p>
    <w:p w14:paraId="7CAE42E5">
      <w:pPr>
        <w:pStyle w:val="style0"/>
        <w:rPr/>
      </w:pPr>
      <w:r>
        <w:t>d</w:t>
      </w:r>
      <w:r>
        <w:rPr>
          <w:lang w:val="en-US"/>
        </w:rPr>
        <w:t>ataset.</w:t>
      </w:r>
      <w:r>
        <w:t>duplicated().sum()</w:t>
      </w:r>
    </w:p>
    <w:p w14:paraId="6A71E2D0">
      <w:pPr>
        <w:pStyle w:val="style0"/>
        <w:rPr/>
      </w:pPr>
      <w:r>
        <w:t>The result was 0, indicating that there are no completely duplicated records in the dataset.</w:t>
      </w:r>
    </w:p>
    <w:p w14:paraId="079B0BE6">
      <w:pPr>
        <w:pStyle w:val="style179"/>
        <w:numPr>
          <w:ilvl w:val="0"/>
          <w:numId w:val="2"/>
        </w:numPr>
        <w:rPr/>
      </w:pPr>
      <w:r>
        <w:t>Duplicate Customer IDs</w:t>
      </w:r>
    </w:p>
    <w:p w14:paraId="7EA8A8B4">
      <w:pPr>
        <w:pStyle w:val="style0"/>
        <w:rPr/>
      </w:pPr>
      <w:r>
        <w:t>The "customerID" column was also checked for repeated customer identifiers.</w:t>
      </w:r>
    </w:p>
    <w:p w14:paraId="B9BE74FB">
      <w:pPr>
        <w:pStyle w:val="style0"/>
        <w:rPr/>
      </w:pPr>
      <w:r>
        <w:t>The result was 0, indicating that each customer ID is unique and no customer appears more than once based on the identifier.</w:t>
      </w:r>
    </w:p>
    <w:p w14:paraId="5353F2E8">
      <w:pPr>
        <w:pStyle w:val="style0"/>
        <w:rPr/>
      </w:pPr>
    </w:p>
    <w:p w14:paraId="9C53CCD2">
      <w:pPr>
        <w:pStyle w:val="style0"/>
        <w:rPr/>
      </w:pPr>
      <w:r>
        <w:rPr>
          <w:b/>
          <w:bCs/>
        </w:rPr>
        <w:t>Categorical Variable Inspection</w:t>
      </w:r>
    </w:p>
    <w:p w14:paraId="2818C0F8">
      <w:pPr>
        <w:pStyle w:val="style0"/>
        <w:rPr/>
      </w:pPr>
      <w:r>
        <w:t>The categorical variables were examined to identify their unique categories and frequency distributions.</w:t>
      </w:r>
    </w:p>
    <w:p w14:paraId="EE04CEF2">
      <w:pPr>
        <w:pStyle w:val="style179"/>
        <w:numPr>
          <w:ilvl w:val="0"/>
          <w:numId w:val="16"/>
        </w:numPr>
        <w:rPr/>
      </w:pPr>
      <w:r>
        <w:t>The "gender" variable contains two categories:</w:t>
      </w:r>
    </w:p>
    <w:p w14:paraId="7CBF4F7A">
      <w:pPr>
        <w:pStyle w:val="style0"/>
        <w:rPr/>
      </w:pPr>
      <w:r>
        <w:t>- Male: 3,555</w:t>
      </w:r>
    </w:p>
    <w:p w14:paraId="6CDA4089">
      <w:pPr>
        <w:pStyle w:val="style0"/>
        <w:rPr/>
      </w:pPr>
      <w:r>
        <w:t>- Female: 3,488</w:t>
      </w:r>
    </w:p>
    <w:p w14:paraId="AAB8BAA2">
      <w:pPr>
        <w:pStyle w:val="style179"/>
        <w:numPr>
          <w:ilvl w:val="0"/>
          <w:numId w:val="15"/>
        </w:numPr>
        <w:rPr/>
      </w:pPr>
      <w:r>
        <w:t>The "Partner" variable contains:</w:t>
      </w:r>
    </w:p>
    <w:p w14:paraId="9A4324BC">
      <w:pPr>
        <w:pStyle w:val="style0"/>
        <w:rPr/>
      </w:pPr>
      <w:r>
        <w:t>- No: 3,641</w:t>
      </w:r>
    </w:p>
    <w:p w14:paraId="2A0F2160">
      <w:pPr>
        <w:pStyle w:val="style0"/>
        <w:rPr/>
      </w:pPr>
      <w:r>
        <w:t>- Yes: 3,402</w:t>
      </w:r>
    </w:p>
    <w:p w14:paraId="84386B3B">
      <w:pPr>
        <w:pStyle w:val="style179"/>
        <w:numPr>
          <w:ilvl w:val="0"/>
          <w:numId w:val="14"/>
        </w:numPr>
        <w:rPr/>
      </w:pPr>
      <w:r>
        <w:t>The "Dependents" variable contains:</w:t>
      </w:r>
    </w:p>
    <w:p w14:paraId="5C470AC4">
      <w:pPr>
        <w:pStyle w:val="style0"/>
        <w:rPr/>
      </w:pPr>
      <w:r>
        <w:t>- No: 4,933</w:t>
      </w:r>
    </w:p>
    <w:p w14:paraId="D3D8EEA6">
      <w:pPr>
        <w:pStyle w:val="style0"/>
        <w:rPr/>
      </w:pPr>
      <w:r>
        <w:t>- Yes: 2,110</w:t>
      </w:r>
    </w:p>
    <w:p w14:paraId="EA075B01">
      <w:pPr>
        <w:pStyle w:val="style179"/>
        <w:numPr>
          <w:ilvl w:val="0"/>
          <w:numId w:val="13"/>
        </w:numPr>
        <w:rPr/>
      </w:pPr>
      <w:r>
        <w:t>The "PhoneService" variable contains:</w:t>
      </w:r>
    </w:p>
    <w:p w14:paraId="B7AED6B6">
      <w:pPr>
        <w:pStyle w:val="style0"/>
        <w:rPr/>
      </w:pPr>
      <w:r>
        <w:t>- Yes: 6,361</w:t>
      </w:r>
    </w:p>
    <w:p w14:paraId="75485938">
      <w:pPr>
        <w:pStyle w:val="style0"/>
        <w:rPr/>
      </w:pPr>
      <w:r>
        <w:t>- No: 682</w:t>
      </w:r>
    </w:p>
    <w:p w14:paraId="51BCFA44">
      <w:pPr>
        <w:pStyle w:val="style179"/>
        <w:numPr>
          <w:ilvl w:val="0"/>
          <w:numId w:val="12"/>
        </w:numPr>
        <w:rPr/>
      </w:pPr>
      <w:r>
        <w:t>The "MultipleLines" variable contains three categories:</w:t>
      </w:r>
    </w:p>
    <w:p w14:paraId="ECFB3AA6">
      <w:pPr>
        <w:pStyle w:val="style0"/>
        <w:rPr/>
      </w:pPr>
      <w:r>
        <w:t>- No: 3,390</w:t>
      </w:r>
    </w:p>
    <w:p w14:paraId="3A03410C">
      <w:pPr>
        <w:pStyle w:val="style0"/>
        <w:rPr/>
      </w:pPr>
      <w:r>
        <w:t>- Yes: 2,971</w:t>
      </w:r>
    </w:p>
    <w:p w14:paraId="59B63B06">
      <w:pPr>
        <w:pStyle w:val="style0"/>
        <w:rPr/>
      </w:pPr>
      <w:r>
        <w:t>- No phone service: 682</w:t>
      </w:r>
    </w:p>
    <w:p w14:paraId="CAA85503">
      <w:pPr>
        <w:pStyle w:val="style179"/>
        <w:numPr>
          <w:ilvl w:val="0"/>
          <w:numId w:val="11"/>
        </w:numPr>
        <w:rPr/>
      </w:pPr>
      <w:r>
        <w:t>The "InternetService" variable contains:</w:t>
      </w:r>
    </w:p>
    <w:p w14:paraId="BB421D1E">
      <w:pPr>
        <w:pStyle w:val="style0"/>
        <w:rPr/>
      </w:pPr>
      <w:r>
        <w:t>- Fiber optic: 3,096</w:t>
      </w:r>
    </w:p>
    <w:p w14:paraId="AF3DA04A">
      <w:pPr>
        <w:pStyle w:val="style0"/>
        <w:rPr/>
      </w:pPr>
      <w:r>
        <w:t>- DSL: 2,421</w:t>
      </w:r>
    </w:p>
    <w:p w14:paraId="FDD582C7">
      <w:pPr>
        <w:pStyle w:val="style0"/>
        <w:rPr/>
      </w:pPr>
      <w:r>
        <w:t>- No: 1,526</w:t>
      </w:r>
    </w:p>
    <w:p w14:paraId="E5575310">
      <w:pPr>
        <w:pStyle w:val="style0"/>
        <w:rPr/>
      </w:pPr>
      <w:r>
        <w:t>The service-related variables such as "OnlineSecurity", "OnlineBackup", "DeviceProtection", "TechSupport", "StreamingTV", and "StreamingMovies" contain the category "No internet service". This is a valid category rather than a missing value because it indicates that the customer does not have internet service.</w:t>
      </w:r>
    </w:p>
    <w:p w14:paraId="12476BB1">
      <w:pPr>
        <w:pStyle w:val="style179"/>
        <w:numPr>
          <w:ilvl w:val="0"/>
          <w:numId w:val="10"/>
        </w:numPr>
        <w:rPr/>
      </w:pPr>
      <w:r>
        <w:t>The "Contract" variable contains:</w:t>
      </w:r>
    </w:p>
    <w:p w14:paraId="98F62832">
      <w:pPr>
        <w:pStyle w:val="style0"/>
        <w:rPr/>
      </w:pPr>
      <w:r>
        <w:t>- Month-to-month: 3,875</w:t>
      </w:r>
    </w:p>
    <w:p w14:paraId="F19ECB85">
      <w:pPr>
        <w:pStyle w:val="style0"/>
        <w:rPr/>
      </w:pPr>
      <w:r>
        <w:t>- Two year: 1,695</w:t>
      </w:r>
    </w:p>
    <w:p w14:paraId="98614965">
      <w:pPr>
        <w:pStyle w:val="style0"/>
        <w:rPr/>
      </w:pPr>
      <w:r>
        <w:t>- One year: 1,473</w:t>
      </w:r>
    </w:p>
    <w:p w14:paraId="41B83E1B">
      <w:pPr>
        <w:pStyle w:val="style179"/>
        <w:numPr>
          <w:ilvl w:val="0"/>
          <w:numId w:val="9"/>
        </w:numPr>
        <w:rPr/>
      </w:pPr>
      <w:r>
        <w:t>The "PaymentMethod" variable contains four categories:</w:t>
      </w:r>
    </w:p>
    <w:p w14:paraId="BCA81B03">
      <w:pPr>
        <w:pStyle w:val="style0"/>
        <w:rPr/>
      </w:pPr>
      <w:r>
        <w:t>- Electronic check: 2,365</w:t>
      </w:r>
    </w:p>
    <w:p w14:paraId="4A828860">
      <w:pPr>
        <w:pStyle w:val="style0"/>
        <w:rPr/>
      </w:pPr>
      <w:r>
        <w:t>- Mailed check: 1,612</w:t>
      </w:r>
    </w:p>
    <w:p w14:paraId="8BE98D1D">
      <w:pPr>
        <w:pStyle w:val="style0"/>
        <w:rPr/>
      </w:pPr>
      <w:r>
        <w:t>- Bank transfer (automatic): 1,544</w:t>
      </w:r>
    </w:p>
    <w:p w14:paraId="60A103FE">
      <w:pPr>
        <w:pStyle w:val="style0"/>
        <w:rPr/>
      </w:pPr>
      <w:r>
        <w:t>- Credit card (automatic): 1,522</w:t>
      </w:r>
    </w:p>
    <w:p w14:paraId="0C066C73">
      <w:pPr>
        <w:pStyle w:val="style0"/>
        <w:rPr/>
      </w:pPr>
    </w:p>
    <w:p w14:paraId="CE63C741">
      <w:pPr>
        <w:pStyle w:val="style0"/>
        <w:rPr>
          <w:b/>
          <w:bCs/>
        </w:rPr>
      </w:pPr>
      <w:r>
        <w:rPr>
          <w:b/>
          <w:bCs/>
          <w:lang w:val="en-US"/>
        </w:rPr>
        <w:t>T</w:t>
      </w:r>
      <w:r>
        <w:rPr>
          <w:b/>
          <w:bCs/>
        </w:rPr>
        <w:t>arget Variable Inspection</w:t>
      </w:r>
    </w:p>
    <w:p w14:paraId="04F585F6">
      <w:pPr>
        <w:pStyle w:val="style0"/>
        <w:rPr/>
      </w:pPr>
      <w:r>
        <w:t>The target variable is "Churn".</w:t>
      </w:r>
    </w:p>
    <w:p w14:paraId="64F859CE">
      <w:pPr>
        <w:pStyle w:val="style0"/>
        <w:rPr/>
      </w:pPr>
      <w:r>
        <w:t>Its distribution is: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653"/>
        <w:gridCol w:w="3653"/>
        <w:gridCol w:w="3654"/>
      </w:tblGrid>
      <w:tr w14:paraId="0CF4BA74">
        <w:trPr/>
        <w:tc>
          <w:tcPr>
            <w:tcW w:w="3653" w:type="dxa"/>
            <w:tcBorders>
              <w:top w:val="single" w:sz="4" w:space="0" w:color="auto"/>
              <w:left w:val="single" w:sz="4" w:space="0" w:color="auto"/>
              <w:bottom w:val="single" w:sz="4" w:space="0" w:color="auto"/>
              <w:right w:val="single" w:sz="4" w:space="0" w:color="auto"/>
            </w:tcBorders>
          </w:tcPr>
          <w:p w14:paraId="685D524F">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p>
        </w:tc>
        <w:tc>
          <w:tcPr>
            <w:tcW w:w="3653" w:type="dxa"/>
            <w:tcBorders>
              <w:top w:val="single" w:sz="4" w:space="0" w:color="auto"/>
              <w:left w:val="single" w:sz="4" w:space="0" w:color="auto"/>
              <w:bottom w:val="single" w:sz="4" w:space="0" w:color="auto"/>
              <w:right w:val="single" w:sz="4" w:space="0" w:color="auto"/>
            </w:tcBorders>
          </w:tcPr>
          <w:p w14:paraId="429FD916">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p>
        </w:tc>
        <w:tc>
          <w:tcPr>
            <w:tcW w:w="3653" w:type="dxa"/>
            <w:tcBorders>
              <w:top w:val="single" w:sz="4" w:space="0" w:color="auto"/>
              <w:left w:val="single" w:sz="4" w:space="0" w:color="auto"/>
              <w:bottom w:val="single" w:sz="4" w:space="0" w:color="auto"/>
              <w:right w:val="single" w:sz="4" w:space="0" w:color="auto"/>
            </w:tcBorders>
          </w:tcPr>
          <w:p w14:paraId="84C3459F">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Percentage</w:t>
            </w:r>
          </w:p>
        </w:tc>
      </w:tr>
      <w:tr w14:paraId="D700B4EF">
        <w:tblPrEx/>
        <w:trPr/>
        <w:tc>
          <w:tcPr>
            <w:tcW w:w="3653" w:type="dxa"/>
            <w:tcBorders>
              <w:top w:val="single" w:sz="4" w:space="0" w:color="auto"/>
              <w:left w:val="single" w:sz="4" w:space="0" w:color="auto"/>
              <w:bottom w:val="single" w:sz="4" w:space="0" w:color="auto"/>
              <w:right w:val="single" w:sz="4" w:space="0" w:color="auto"/>
            </w:tcBorders>
          </w:tcPr>
          <w:p w14:paraId="F20C79DD">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p>
        </w:tc>
        <w:tc>
          <w:tcPr>
            <w:tcW w:w="3653" w:type="dxa"/>
            <w:tcBorders>
              <w:top w:val="single" w:sz="4" w:space="0" w:color="auto"/>
              <w:left w:val="single" w:sz="4" w:space="0" w:color="auto"/>
              <w:bottom w:val="single" w:sz="4" w:space="0" w:color="auto"/>
              <w:right w:val="single" w:sz="4" w:space="0" w:color="auto"/>
            </w:tcBorders>
          </w:tcPr>
          <w:p w14:paraId="69DA6E20">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5,174</w:t>
            </w:r>
          </w:p>
        </w:tc>
        <w:tc>
          <w:tcPr>
            <w:tcW w:w="3653" w:type="dxa"/>
            <w:tcBorders>
              <w:top w:val="single" w:sz="4" w:space="0" w:color="auto"/>
              <w:left w:val="single" w:sz="4" w:space="0" w:color="auto"/>
              <w:bottom w:val="single" w:sz="4" w:space="0" w:color="auto"/>
              <w:right w:val="single" w:sz="4" w:space="0" w:color="auto"/>
            </w:tcBorders>
          </w:tcPr>
          <w:p w14:paraId="DFCF9D30">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73.5%</w:t>
            </w:r>
          </w:p>
        </w:tc>
      </w:tr>
      <w:tr w14:paraId="E27E5B7B">
        <w:tblPrEx/>
        <w:trPr/>
        <w:tc>
          <w:tcPr>
            <w:tcW w:w="3653" w:type="dxa"/>
            <w:tcBorders>
              <w:top w:val="single" w:sz="4" w:space="0" w:color="auto"/>
              <w:left w:val="single" w:sz="4" w:space="0" w:color="auto"/>
              <w:bottom w:val="single" w:sz="4" w:space="0" w:color="auto"/>
              <w:right w:val="single" w:sz="4" w:space="0" w:color="auto"/>
            </w:tcBorders>
          </w:tcPr>
          <w:p w14:paraId="9A21AA2B">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Yes</w:t>
            </w:r>
          </w:p>
        </w:tc>
        <w:tc>
          <w:tcPr>
            <w:tcW w:w="3653" w:type="dxa"/>
            <w:tcBorders>
              <w:top w:val="single" w:sz="4" w:space="0" w:color="auto"/>
              <w:left w:val="single" w:sz="4" w:space="0" w:color="auto"/>
              <w:bottom w:val="single" w:sz="4" w:space="0" w:color="auto"/>
              <w:right w:val="single" w:sz="4" w:space="0" w:color="auto"/>
            </w:tcBorders>
          </w:tcPr>
          <w:p w14:paraId="8F21507D">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1,869</w:t>
            </w:r>
          </w:p>
        </w:tc>
        <w:tc>
          <w:tcPr>
            <w:tcW w:w="3653" w:type="dxa"/>
            <w:tcBorders>
              <w:top w:val="single" w:sz="4" w:space="0" w:color="auto"/>
              <w:left w:val="single" w:sz="4" w:space="0" w:color="auto"/>
              <w:bottom w:val="single" w:sz="4" w:space="0" w:color="auto"/>
              <w:right w:val="single" w:sz="4" w:space="0" w:color="auto"/>
            </w:tcBorders>
          </w:tcPr>
          <w:p w14:paraId="0C14ECBB">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26.5%</w:t>
            </w:r>
          </w:p>
        </w:tc>
      </w:tr>
      <w:tr w14:paraId="7C06BA93">
        <w:tblPrEx/>
        <w:trPr/>
        <w:tc>
          <w:tcPr>
            <w:tcW w:w="3653" w:type="dxa"/>
            <w:tcBorders>
              <w:top w:val="single" w:sz="4" w:space="0" w:color="auto"/>
              <w:left w:val="single" w:sz="4" w:space="0" w:color="auto"/>
              <w:bottom w:val="single" w:sz="4" w:space="0" w:color="auto"/>
              <w:right w:val="single" w:sz="4" w:space="0" w:color="auto"/>
            </w:tcBorders>
          </w:tcPr>
          <w:p w14:paraId="ABE24ED8">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Total</w:t>
            </w:r>
          </w:p>
        </w:tc>
        <w:tc>
          <w:tcPr>
            <w:tcW w:w="3653" w:type="dxa"/>
            <w:tcBorders>
              <w:top w:val="single" w:sz="4" w:space="0" w:color="auto"/>
              <w:left w:val="single" w:sz="4" w:space="0" w:color="auto"/>
              <w:bottom w:val="single" w:sz="4" w:space="0" w:color="auto"/>
              <w:right w:val="single" w:sz="4" w:space="0" w:color="auto"/>
            </w:tcBorders>
          </w:tcPr>
          <w:p w14:paraId="AF75A284">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7,043</w:t>
            </w:r>
          </w:p>
        </w:tc>
        <w:tc>
          <w:tcPr>
            <w:tcW w:w="3653" w:type="dxa"/>
            <w:tcBorders>
              <w:top w:val="single" w:sz="4" w:space="0" w:color="auto"/>
              <w:left w:val="single" w:sz="4" w:space="0" w:color="auto"/>
              <w:bottom w:val="single" w:sz="4" w:space="0" w:color="auto"/>
              <w:right w:val="single" w:sz="4" w:space="0" w:color="auto"/>
            </w:tcBorders>
          </w:tcPr>
          <w:p w14:paraId="22213749">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100%</w:t>
            </w:r>
          </w:p>
        </w:tc>
      </w:tr>
    </w:tbl>
    <w:p w14:paraId="383E9C0E">
      <w:pPr>
        <w:pStyle w:val="style0"/>
        <w:rPr/>
      </w:pPr>
      <w:r>
        <w:t>The target variable is therefore moderately imbalanced, because the number of customers who did not churn is considerably greater than the number who churned.</w:t>
      </w:r>
    </w:p>
    <w:p w14:paraId="5376DB9E">
      <w:pPr>
        <w:pStyle w:val="style0"/>
        <w:rPr/>
      </w:pPr>
      <w:r>
        <w:t xml:space="preserve">This imbalance </w:t>
      </w:r>
      <w:r>
        <w:rPr>
          <w:lang w:val="en-US"/>
        </w:rPr>
        <w:t>must</w:t>
      </w:r>
      <w:r>
        <w:t xml:space="preserve"> be considered when selecting model evaluation metrics. Accuracy alone may not provide a complete assessment of model performance, so metrics such as precision, recall, F1-score, and ROC-AUC should also be considered during model evaluation.</w:t>
      </w:r>
    </w:p>
    <w:p w14:paraId="ACE7A579">
      <w:pPr>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Numerical Variable Inspection</w:t>
      </w:r>
    </w:p>
    <w:p w14:paraId="A65C385B">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Descriptive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statistics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calculated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numerical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"SeniorCitizen",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"MonthlyCharges",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"TotalCharges".</w:t>
      </w:r>
    </w:p>
    <w:p w14:paraId="3DE82743">
      <w:pPr>
        <w:spacing w:after="200" w:lineRule="auto" w:line="276"/>
        <w:jc w:val="left"/>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192"/>
        <w:gridCol w:w="2192"/>
        <w:gridCol w:w="2192"/>
        <w:gridCol w:w="2192"/>
        <w:gridCol w:w="2192"/>
      </w:tblGrid>
      <w:tr w14:paraId="ADF78B02">
        <w:trPr/>
        <w:tc>
          <w:tcPr>
            <w:tcW w:w="2192" w:type="dxa"/>
            <w:tcBorders>
              <w:top w:val="single" w:sz="4" w:space="0" w:color="auto"/>
              <w:left w:val="single" w:sz="4" w:space="0" w:color="auto"/>
              <w:bottom w:val="single" w:sz="4" w:space="0" w:color="auto"/>
              <w:right w:val="single" w:sz="4" w:space="0" w:color="auto"/>
            </w:tcBorders>
          </w:tcPr>
          <w:p w14:paraId="1E1CF0C7">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p>
        </w:tc>
        <w:tc>
          <w:tcPr>
            <w:tcW w:w="2192" w:type="dxa"/>
            <w:tcBorders>
              <w:top w:val="single" w:sz="4" w:space="0" w:color="auto"/>
              <w:left w:val="single" w:sz="4" w:space="0" w:color="auto"/>
              <w:bottom w:val="single" w:sz="4" w:space="0" w:color="auto"/>
              <w:right w:val="single" w:sz="4" w:space="0" w:color="auto"/>
            </w:tcBorders>
          </w:tcPr>
          <w:p w14:paraId="ED4DCB1C">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w:t>
            </w:r>
          </w:p>
        </w:tc>
        <w:tc>
          <w:tcPr>
            <w:tcW w:w="2192" w:type="dxa"/>
            <w:tcBorders>
              <w:top w:val="single" w:sz="4" w:space="0" w:color="auto"/>
              <w:left w:val="single" w:sz="4" w:space="0" w:color="auto"/>
              <w:bottom w:val="single" w:sz="4" w:space="0" w:color="auto"/>
              <w:right w:val="single" w:sz="4" w:space="0" w:color="auto"/>
            </w:tcBorders>
          </w:tcPr>
          <w:p w14:paraId="DA91D996">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Median</w:t>
            </w:r>
          </w:p>
        </w:tc>
        <w:tc>
          <w:tcPr>
            <w:tcW w:w="2192" w:type="dxa"/>
            <w:tcBorders>
              <w:top w:val="single" w:sz="4" w:space="0" w:color="auto"/>
              <w:left w:val="single" w:sz="4" w:space="0" w:color="auto"/>
              <w:bottom w:val="single" w:sz="4" w:space="0" w:color="auto"/>
              <w:right w:val="single" w:sz="4" w:space="0" w:color="auto"/>
            </w:tcBorders>
          </w:tcPr>
          <w:p w14:paraId="CA9A968C">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Minimum</w:t>
            </w:r>
          </w:p>
        </w:tc>
        <w:tc>
          <w:tcPr>
            <w:tcW w:w="2192" w:type="dxa"/>
            <w:tcBorders>
              <w:top w:val="single" w:sz="4" w:space="0" w:color="auto"/>
              <w:left w:val="single" w:sz="4" w:space="0" w:color="auto"/>
              <w:bottom w:val="single" w:sz="4" w:space="0" w:color="auto"/>
              <w:right w:val="single" w:sz="4" w:space="0" w:color="auto"/>
            </w:tcBorders>
          </w:tcPr>
          <w:p w14:paraId="2E0BBC9A">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Maximum</w:t>
            </w:r>
          </w:p>
        </w:tc>
      </w:tr>
      <w:tr w14:paraId="B21492CE">
        <w:tblPrEx/>
        <w:trPr/>
        <w:tc>
          <w:tcPr>
            <w:tcW w:w="2192" w:type="dxa"/>
            <w:tcBorders>
              <w:top w:val="single" w:sz="4" w:space="0" w:color="auto"/>
              <w:left w:val="single" w:sz="4" w:space="0" w:color="auto"/>
              <w:bottom w:val="single" w:sz="4" w:space="0" w:color="auto"/>
              <w:right w:val="single" w:sz="4" w:space="0" w:color="auto"/>
            </w:tcBorders>
          </w:tcPr>
          <w:p w14:paraId="AF68E4F6">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"SeniorCitizen"</w:t>
            </w:r>
          </w:p>
        </w:tc>
        <w:tc>
          <w:tcPr>
            <w:tcW w:w="2192" w:type="dxa"/>
            <w:tcBorders>
              <w:top w:val="single" w:sz="4" w:space="0" w:color="auto"/>
              <w:left w:val="single" w:sz="4" w:space="0" w:color="auto"/>
              <w:bottom w:val="single" w:sz="4" w:space="0" w:color="auto"/>
              <w:right w:val="single" w:sz="4" w:space="0" w:color="auto"/>
            </w:tcBorders>
          </w:tcPr>
          <w:p w14:paraId="13C8F7EF">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0.1621</w:t>
            </w:r>
          </w:p>
        </w:tc>
        <w:tc>
          <w:tcPr>
            <w:tcW w:w="2192" w:type="dxa"/>
            <w:tcBorders>
              <w:top w:val="single" w:sz="4" w:space="0" w:color="auto"/>
              <w:left w:val="single" w:sz="4" w:space="0" w:color="auto"/>
              <w:bottom w:val="single" w:sz="4" w:space="0" w:color="auto"/>
              <w:right w:val="single" w:sz="4" w:space="0" w:color="auto"/>
            </w:tcBorders>
          </w:tcPr>
          <w:p w14:paraId="56FBD4C6">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tc>
        <w:tc>
          <w:tcPr>
            <w:tcW w:w="2192" w:type="dxa"/>
            <w:tcBorders>
              <w:top w:val="single" w:sz="4" w:space="0" w:color="auto"/>
              <w:left w:val="single" w:sz="4" w:space="0" w:color="auto"/>
              <w:bottom w:val="single" w:sz="4" w:space="0" w:color="auto"/>
              <w:right w:val="single" w:sz="4" w:space="0" w:color="auto"/>
            </w:tcBorders>
          </w:tcPr>
          <w:p w14:paraId="DD00BD64">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tc>
        <w:tc>
          <w:tcPr>
            <w:tcW w:w="2192" w:type="dxa"/>
            <w:tcBorders>
              <w:top w:val="single" w:sz="4" w:space="0" w:color="auto"/>
              <w:left w:val="single" w:sz="4" w:space="0" w:color="auto"/>
              <w:bottom w:val="single" w:sz="4" w:space="0" w:color="auto"/>
              <w:right w:val="single" w:sz="4" w:space="0" w:color="auto"/>
            </w:tcBorders>
          </w:tcPr>
          <w:p w14:paraId="46CF606E">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p>
        </w:tc>
      </w:tr>
      <w:tr w14:paraId="46DEDA90">
        <w:tblPrEx/>
        <w:trPr/>
        <w:tc>
          <w:tcPr>
            <w:tcW w:w="2192" w:type="dxa"/>
            <w:tcBorders>
              <w:top w:val="single" w:sz="4" w:space="0" w:color="auto"/>
              <w:left w:val="single" w:sz="4" w:space="0" w:color="auto"/>
              <w:bottom w:val="single" w:sz="4" w:space="0" w:color="auto"/>
              <w:right w:val="single" w:sz="4" w:space="0" w:color="auto"/>
            </w:tcBorders>
          </w:tcPr>
          <w:p w14:paraId="487F4659">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"tenure"</w:t>
            </w:r>
          </w:p>
        </w:tc>
        <w:tc>
          <w:tcPr>
            <w:tcW w:w="2192" w:type="dxa"/>
            <w:tcBorders>
              <w:top w:val="single" w:sz="4" w:space="0" w:color="auto"/>
              <w:left w:val="single" w:sz="4" w:space="0" w:color="auto"/>
              <w:bottom w:val="single" w:sz="4" w:space="0" w:color="auto"/>
              <w:right w:val="single" w:sz="4" w:space="0" w:color="auto"/>
            </w:tcBorders>
          </w:tcPr>
          <w:p w14:paraId="C1FD17E2">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32.3711</w:t>
            </w:r>
          </w:p>
        </w:tc>
        <w:tc>
          <w:tcPr>
            <w:tcW w:w="2192" w:type="dxa"/>
            <w:tcBorders>
              <w:top w:val="single" w:sz="4" w:space="0" w:color="auto"/>
              <w:left w:val="single" w:sz="4" w:space="0" w:color="auto"/>
              <w:bottom w:val="single" w:sz="4" w:space="0" w:color="auto"/>
              <w:right w:val="single" w:sz="4" w:space="0" w:color="auto"/>
            </w:tcBorders>
          </w:tcPr>
          <w:p w14:paraId="0FD97F52">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29</w:t>
            </w:r>
          </w:p>
        </w:tc>
        <w:tc>
          <w:tcPr>
            <w:tcW w:w="2192" w:type="dxa"/>
            <w:tcBorders>
              <w:top w:val="single" w:sz="4" w:space="0" w:color="auto"/>
              <w:left w:val="single" w:sz="4" w:space="0" w:color="auto"/>
              <w:bottom w:val="single" w:sz="4" w:space="0" w:color="auto"/>
              <w:right w:val="single" w:sz="4" w:space="0" w:color="auto"/>
            </w:tcBorders>
          </w:tcPr>
          <w:p w14:paraId="035004D9">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tc>
        <w:tc>
          <w:tcPr>
            <w:tcW w:w="2192" w:type="dxa"/>
            <w:tcBorders>
              <w:top w:val="single" w:sz="4" w:space="0" w:color="auto"/>
              <w:left w:val="single" w:sz="4" w:space="0" w:color="auto"/>
              <w:bottom w:val="single" w:sz="4" w:space="0" w:color="auto"/>
              <w:right w:val="single" w:sz="4" w:space="0" w:color="auto"/>
            </w:tcBorders>
          </w:tcPr>
          <w:p w14:paraId="D54CFB7B">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72</w:t>
            </w:r>
          </w:p>
        </w:tc>
      </w:tr>
      <w:tr w14:paraId="263AA2F3">
        <w:tblPrEx/>
        <w:trPr/>
        <w:tc>
          <w:tcPr>
            <w:tcW w:w="2192" w:type="dxa"/>
            <w:tcBorders>
              <w:top w:val="single" w:sz="4" w:space="0" w:color="auto"/>
              <w:left w:val="single" w:sz="4" w:space="0" w:color="auto"/>
              <w:bottom w:val="single" w:sz="4" w:space="0" w:color="auto"/>
              <w:right w:val="single" w:sz="4" w:space="0" w:color="auto"/>
            </w:tcBorders>
          </w:tcPr>
          <w:p w14:paraId="6C9ECBD9">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"MonthlyCharges"</w:t>
            </w:r>
          </w:p>
        </w:tc>
        <w:tc>
          <w:tcPr>
            <w:tcW w:w="2192" w:type="dxa"/>
            <w:tcBorders>
              <w:top w:val="single" w:sz="4" w:space="0" w:color="auto"/>
              <w:left w:val="single" w:sz="4" w:space="0" w:color="auto"/>
              <w:bottom w:val="single" w:sz="4" w:space="0" w:color="auto"/>
              <w:right w:val="single" w:sz="4" w:space="0" w:color="auto"/>
            </w:tcBorders>
          </w:tcPr>
          <w:p w14:paraId="32827CA6">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64.7617</w:t>
            </w:r>
          </w:p>
        </w:tc>
        <w:tc>
          <w:tcPr>
            <w:tcW w:w="2192" w:type="dxa"/>
            <w:tcBorders>
              <w:top w:val="single" w:sz="4" w:space="0" w:color="auto"/>
              <w:left w:val="single" w:sz="4" w:space="0" w:color="auto"/>
              <w:bottom w:val="single" w:sz="4" w:space="0" w:color="auto"/>
              <w:right w:val="single" w:sz="4" w:space="0" w:color="auto"/>
            </w:tcBorders>
          </w:tcPr>
          <w:p w14:paraId="95A26A74">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70.3500</w:t>
            </w:r>
          </w:p>
        </w:tc>
        <w:tc>
          <w:tcPr>
            <w:tcW w:w="2192" w:type="dxa"/>
            <w:tcBorders>
              <w:top w:val="single" w:sz="4" w:space="0" w:color="auto"/>
              <w:left w:val="single" w:sz="4" w:space="0" w:color="auto"/>
              <w:bottom w:val="single" w:sz="4" w:space="0" w:color="auto"/>
              <w:right w:val="single" w:sz="4" w:space="0" w:color="auto"/>
            </w:tcBorders>
          </w:tcPr>
          <w:p w14:paraId="499DAB02">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18.25</w:t>
            </w:r>
          </w:p>
        </w:tc>
        <w:tc>
          <w:tcPr>
            <w:tcW w:w="2192" w:type="dxa"/>
            <w:tcBorders>
              <w:top w:val="single" w:sz="4" w:space="0" w:color="auto"/>
              <w:left w:val="single" w:sz="4" w:space="0" w:color="auto"/>
              <w:bottom w:val="single" w:sz="4" w:space="0" w:color="auto"/>
              <w:right w:val="single" w:sz="4" w:space="0" w:color="auto"/>
            </w:tcBorders>
          </w:tcPr>
          <w:p w14:paraId="3F6A5FB9">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118.75</w:t>
            </w:r>
          </w:p>
        </w:tc>
      </w:tr>
      <w:tr w14:paraId="53E9083F">
        <w:tblPrEx/>
        <w:trPr/>
        <w:tc>
          <w:tcPr>
            <w:tcW w:w="2192" w:type="dxa"/>
            <w:tcBorders>
              <w:top w:val="single" w:sz="4" w:space="0" w:color="auto"/>
              <w:left w:val="single" w:sz="4" w:space="0" w:color="auto"/>
              <w:bottom w:val="single" w:sz="4" w:space="0" w:color="auto"/>
              <w:right w:val="single" w:sz="4" w:space="0" w:color="auto"/>
            </w:tcBorders>
          </w:tcPr>
          <w:p w14:paraId="8B89BEE0">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"TotalCharges"</w:t>
            </w:r>
          </w:p>
        </w:tc>
        <w:tc>
          <w:tcPr>
            <w:tcW w:w="2192" w:type="dxa"/>
            <w:tcBorders>
              <w:top w:val="single" w:sz="4" w:space="0" w:color="auto"/>
              <w:left w:val="single" w:sz="4" w:space="0" w:color="auto"/>
              <w:bottom w:val="single" w:sz="4" w:space="0" w:color="auto"/>
              <w:right w:val="single" w:sz="4" w:space="0" w:color="auto"/>
            </w:tcBorders>
          </w:tcPr>
          <w:p w14:paraId="CC0099AD">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2279.7343</w:t>
            </w:r>
          </w:p>
        </w:tc>
        <w:tc>
          <w:tcPr>
            <w:tcW w:w="2192" w:type="dxa"/>
            <w:tcBorders>
              <w:top w:val="single" w:sz="4" w:space="0" w:color="auto"/>
              <w:left w:val="single" w:sz="4" w:space="0" w:color="auto"/>
              <w:bottom w:val="single" w:sz="4" w:space="0" w:color="auto"/>
              <w:right w:val="single" w:sz="4" w:space="0" w:color="auto"/>
            </w:tcBorders>
          </w:tcPr>
          <w:p w14:paraId="774EC3BC">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1394.5500</w:t>
            </w:r>
          </w:p>
        </w:tc>
        <w:tc>
          <w:tcPr>
            <w:tcW w:w="2192" w:type="dxa"/>
            <w:tcBorders>
              <w:top w:val="single" w:sz="4" w:space="0" w:color="auto"/>
              <w:left w:val="single" w:sz="4" w:space="0" w:color="auto"/>
              <w:bottom w:val="single" w:sz="4" w:space="0" w:color="auto"/>
              <w:right w:val="single" w:sz="4" w:space="0" w:color="auto"/>
            </w:tcBorders>
          </w:tcPr>
          <w:p w14:paraId="7FFBD186">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tc>
        <w:tc>
          <w:tcPr>
            <w:tcW w:w="2192" w:type="dxa"/>
            <w:tcBorders>
              <w:top w:val="single" w:sz="4" w:space="0" w:color="auto"/>
              <w:left w:val="single" w:sz="4" w:space="0" w:color="auto"/>
              <w:bottom w:val="single" w:sz="4" w:space="0" w:color="auto"/>
              <w:right w:val="single" w:sz="4" w:space="0" w:color="auto"/>
            </w:tcBorders>
          </w:tcPr>
          <w:p w14:paraId="3AC35498">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8684.80</w:t>
            </w:r>
          </w:p>
        </w:tc>
      </w:tr>
    </w:tbl>
    <w:p w14:paraId="128EECD5">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"SeniorCitizen"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stored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integer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represents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indicator,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represents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non-senior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represents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approximately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0.162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indicates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citizens.</w:t>
      </w:r>
    </w:p>
    <w:p w14:paraId="69B3152B">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approximately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32.37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indicating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length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relationships.</w:t>
      </w:r>
    </w:p>
    <w:p w14:paraId="60B6348C">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"MonthlyCharges"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118.75,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approximately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64.76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70.35.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suggests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distribution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perfectly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symmetric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further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histogram.</w:t>
      </w:r>
    </w:p>
    <w:p w14:paraId="6739B350">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"TotalCharges"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8,684.80.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approximately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2,279.73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considerably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1,394.55,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suggesting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right-skewed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accumulated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charges.</w:t>
      </w:r>
    </w:p>
    <w:p w14:paraId="EB19EF4D">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numerical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distributions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were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further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Exploratory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histograms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visualizations.</w:t>
      </w:r>
    </w:p>
    <w:p w14:paraId="7092BFF0">
      <w:pPr>
        <w:pStyle w:val="style0"/>
        <w:rPr/>
      </w:pPr>
    </w:p>
    <w:p w14:paraId="3143A725">
      <w:pPr>
        <w:pStyle w:val="style0"/>
        <w:rPr>
          <w:b/>
          <w:bCs/>
        </w:rPr>
      </w:pPr>
      <w:r>
        <w:rPr>
          <w:b/>
          <w:bCs/>
        </w:rPr>
        <w:t>Key Findings</w:t>
      </w:r>
    </w:p>
    <w:p w14:paraId="9767D376">
      <w:pPr>
        <w:pStyle w:val="style0"/>
        <w:rPr/>
      </w:pPr>
      <w:r>
        <w:t>The dataset inspection produced the following findings:</w:t>
      </w:r>
    </w:p>
    <w:p w14:paraId="E68577CC">
      <w:pPr>
        <w:pStyle w:val="style0"/>
        <w:rPr/>
      </w:pPr>
      <w:r>
        <w:t>1. The dataset contains 7,043 records and 21 columns.</w:t>
      </w:r>
    </w:p>
    <w:p w14:paraId="8D0F294F">
      <w:pPr>
        <w:pStyle w:val="style0"/>
        <w:rPr/>
      </w:pPr>
      <w:r>
        <w:t>2. There are 17 categorical/object columns, 2 integer columns, and 2 floating-point columns.</w:t>
      </w:r>
    </w:p>
    <w:p w14:paraId="889F7209">
      <w:pPr>
        <w:pStyle w:val="style0"/>
        <w:rPr/>
      </w:pPr>
      <w:r>
        <w:t>3. There are 11 missing values, all located in "TotalCharges".</w:t>
      </w:r>
    </w:p>
    <w:p w14:paraId="1CDE7726">
      <w:pPr>
        <w:pStyle w:val="style0"/>
        <w:rPr/>
      </w:pPr>
      <w:r>
        <w:t>4. The affected "TotalCharges" records have a tenure of 0 months and valid "MonthlyCharges" values.</w:t>
      </w:r>
    </w:p>
    <w:p w14:paraId="5B481F3F">
      <w:pPr>
        <w:pStyle w:val="style0"/>
        <w:rPr/>
      </w:pPr>
      <w:r>
        <w:t>5. The 11 missing "TotalCharges" values will be treated as 0 during preprocessing.</w:t>
      </w:r>
    </w:p>
    <w:p w14:paraId="5F158CE8">
      <w:pPr>
        <w:pStyle w:val="style0"/>
        <w:rPr/>
      </w:pPr>
      <w:r>
        <w:t>6. There are no completely duplicated rows.</w:t>
      </w:r>
    </w:p>
    <w:p w14:paraId="8C3248D3">
      <w:pPr>
        <w:pStyle w:val="style0"/>
        <w:rPr/>
      </w:pPr>
      <w:r>
        <w:t>7. There are no duplicate customer IDs.</w:t>
      </w:r>
    </w:p>
    <w:p w14:paraId="D9E3CA9B">
      <w:pPr>
        <w:pStyle w:val="style0"/>
        <w:rPr/>
      </w:pPr>
      <w:r>
        <w:t>8. Several service-related variables contain "No internet service", which is a valid category rather than missing data.</w:t>
      </w:r>
    </w:p>
    <w:p w14:paraId="02BD201D">
      <w:pPr>
        <w:pStyle w:val="style0"/>
        <w:rPr/>
      </w:pPr>
      <w:r>
        <w:t>9. The target variable "Churn" contains 5,174 "No" observations and 1,869 "Yes" observations.</w:t>
      </w:r>
    </w:p>
    <w:p w14:paraId="B1BF618B">
      <w:pPr>
        <w:pStyle w:val="style0"/>
        <w:rPr/>
      </w:pPr>
      <w:r>
        <w:t>10. The target variable is moderately imbalanced, with approximately 73.5% non-churned customers and 26.5% churned customers.</w:t>
      </w:r>
    </w:p>
    <w:p w14:paraId="91838568">
      <w:pPr>
        <w:pStyle w:val="style0"/>
        <w:rPr>
          <w:b/>
          <w:bCs/>
        </w:rPr>
      </w:pPr>
      <w:r>
        <w:rPr>
          <w:b/>
          <w:bCs/>
          <w:lang w:val="en-US"/>
        </w:rPr>
        <w:t>Correlation Analysis</w:t>
      </w:r>
    </w:p>
    <w:p w14:paraId="ACB16A2C">
      <w:pPr>
        <w:pStyle w:val="style179"/>
        <w:numPr>
          <w:ilvl w:val="0"/>
          <w:numId w:val="3"/>
        </w:numPr>
        <w:rPr/>
      </w:pPr>
      <w:r>
        <w:rPr>
          <w:lang w:val="en-US"/>
        </w:rPr>
        <w:t>A correlation analysis was performed on the numerical variables "SeniorCitizen", "tenure", "MonthlyCharges", and "TotalCharges".</w:t>
      </w:r>
    </w:p>
    <w:p w14:paraId="1374820A">
      <w:pPr>
        <w:pStyle w:val="style179"/>
        <w:numPr>
          <w:ilvl w:val="0"/>
          <w:numId w:val="4"/>
        </w:numPr>
        <w:rPr/>
      </w:pPr>
      <w:r>
        <w:rPr>
          <w:lang w:val="en-US"/>
        </w:rPr>
        <w:t>The strongest correlation was observed between "tenure" and "TotalCharges", with a correlation coefficient of 0.826. This indicates a strong positive relationship, meaning that customers with longer tenure generally tend to have higher accumulated charges.</w:t>
      </w:r>
    </w:p>
    <w:p w14:paraId="C4F8096D">
      <w:pPr>
        <w:pStyle w:val="style179"/>
        <w:numPr>
          <w:ilvl w:val="0"/>
          <w:numId w:val="5"/>
        </w:numPr>
        <w:rPr/>
      </w:pPr>
      <w:r>
        <w:rPr>
          <w:lang w:val="en-US"/>
        </w:rPr>
        <w:t>"MonthlyCharges" and "TotalCharges" also showed a moderately strong positive correlation of 0.651. This suggests that customers with higher monthly charges generally tend to have higher total charges.</w:t>
      </w:r>
    </w:p>
    <w:p w14:paraId="79D7C188">
      <w:pPr>
        <w:pStyle w:val="style179"/>
        <w:numPr>
          <w:ilvl w:val="0"/>
          <w:numId w:val="6"/>
        </w:numPr>
        <w:rPr/>
      </w:pPr>
      <w:r>
        <w:rPr>
          <w:lang w:val="en-US"/>
        </w:rPr>
        <w:t>The correlation between "tenure" and "MonthlyCharges" was 0.248, indicating a weak positive relationship. Similarly, "SeniorCitizen" had a weak positive correlation with "MonthlyCharges" (0.220) and a very weak positive correlation with "TotalCharges" (0.103).</w:t>
      </w:r>
    </w:p>
    <w:p w14:paraId="E16821E6">
      <w:pPr>
        <w:pStyle w:val="style179"/>
        <w:numPr>
          <w:ilvl w:val="0"/>
          <w:numId w:val="7"/>
        </w:numPr>
        <w:rPr/>
      </w:pPr>
      <w:r>
        <w:rPr>
          <w:lang w:val="en-US"/>
        </w:rPr>
        <w:t>The correlation between "SeniorCitizen" and "tenure" was 0.017, indicating almost no linear relationship between the two variables.</w:t>
      </w:r>
    </w:p>
    <w:p w14:paraId="27F1B258">
      <w:pPr>
        <w:pStyle w:val="style179"/>
        <w:numPr>
          <w:ilvl w:val="0"/>
          <w:numId w:val="8"/>
        </w:numPr>
        <w:rPr>
          <w:lang w:val="en-US"/>
        </w:rPr>
      </w:pPr>
      <w:r>
        <w:rPr>
          <w:lang w:val="en-US"/>
        </w:rPr>
        <w:t>Overall, the strongest relationship in the numerical variables was between "tenure" and "TotalCharges". This relationship should be considered during feature analysis and model development because the two variables contain substantially related information. However, correlation alone is not sufficient reason to remove a feature.</w:t>
      </w:r>
    </w:p>
    <w:p w14:paraId="1B492474">
      <w:pPr>
        <w:spacing w:after="200" w:lineRule="auto" w:line="276"/>
        <w:jc w:val="left"/>
        <w:rPr>
          <w:b/>
          <w:bCs/>
        </w:rPr>
      </w:pPr>
      <w:r>
        <w:rPr>
          <w:rFonts w:ascii="Calibri" w:cs="Times New Roman" w:eastAsia="宋体" w:hAnsi="Calibri" w:hint="default"/>
          <w:b/>
          <w:bCs/>
          <w:i w:val="false"/>
          <w:iCs w:val="false"/>
          <w:color w:val="auto"/>
          <w:sz w:val="22"/>
          <w:szCs w:val="22"/>
          <w:highlight w:val="none"/>
          <w:vertAlign w:val="baseline"/>
          <w:em w:val="none"/>
          <w:lang w:val="en-US" w:eastAsia="zh-CN"/>
        </w:rPr>
        <w:t>Conclusion</w:t>
      </w:r>
    </w:p>
    <w:p w14:paraId="E481E8D8">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suitable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further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machine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preparation.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data-quality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issue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identified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"TotalCharges".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records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investigated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correspond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tenure.</w:t>
      </w:r>
    </w:p>
    <w:p w14:paraId="97B5E69D">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duplicate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rows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duplicate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categorical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meaningful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categories,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treated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p>
    <w:p w14:paraId="077D3223">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involve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exploratory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problem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framing,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visualization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important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characteristics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preparation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machine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sectPr>
      <w:pgSz w:w="11900" w:h="16840" w:orient="portrait"/>
      <w:pgMar w:top="1032" w:right="599" w:bottom="584" w:left="55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2">
    <w:name w:val="heading 2"/>
    <w:basedOn w:val="style0"/>
    <w:next w:val="style0"/>
    <w:link w:val="style12290"/>
    <w:qFormat/>
    <w:uiPriority w:val="9"/>
    <w:pPr>
      <w:keepNext/>
      <w:keepLines/>
      <w:spacing w:before="200" w:after="0"/>
      <w:outlineLvl w:val="1"/>
    </w:pPr>
    <w:rPr>
      <w:b/>
      <w:bCs/>
      <w:color w:val="4f81bd"/>
      <w:sz w:val="26"/>
      <w:szCs w:val="26"/>
    </w:rPr>
  </w:style>
  <w:style w:type="character" w:customStyle="1" w:styleId="style12290">
    <w:name w:val="Heading 2 Char"/>
    <w:basedOn w:val="style65"/>
    <w:link w:val="style2"/>
    <w:uiPriority w:val="9"/>
    <w:rPr>
      <w:b/>
      <w:bCs/>
      <w:color w:val="4f81bd"/>
      <w:sz w:val="26"/>
      <w:szCs w:val="26"/>
    </w:rPr>
  </w:style>
  <w:style w:type="paragraph" w:styleId="style3">
    <w:name w:val="heading 3"/>
    <w:basedOn w:val="style0"/>
    <w:next w:val="style0"/>
    <w:link w:val="style12291"/>
    <w:qFormat/>
    <w:uiPriority w:val="9"/>
    <w:pPr>
      <w:keepNext/>
      <w:keepLines/>
      <w:spacing w:before="200" w:after="0"/>
      <w:outlineLvl w:val="2"/>
    </w:pPr>
    <w:rPr>
      <w:b/>
      <w:bCs/>
      <w:color w:val="4f81bd"/>
    </w:rPr>
  </w:style>
  <w:style w:type="character" w:customStyle="1" w:styleId="style12291">
    <w:name w:val="Heading 3 Char"/>
    <w:basedOn w:val="style65"/>
    <w:link w:val="style3"/>
    <w:uiPriority w:val="9"/>
    <w:rPr>
      <w:b/>
      <w:bCs/>
      <w:color w:val="4f81bd"/>
    </w:rPr>
  </w:style>
  <w:style w:type="paragraph" w:styleId="style1">
    <w:name w:val="heading 1"/>
    <w:basedOn w:val="style0"/>
    <w:next w:val="style0"/>
    <w:link w:val="style12289"/>
    <w:qFormat/>
    <w:uiPriority w:val="9"/>
    <w:pPr>
      <w:keepNext/>
      <w:keepLines/>
      <w:spacing w:before="480" w:after="0"/>
      <w:outlineLvl w:val="0"/>
    </w:pPr>
    <w:rPr>
      <w:b/>
      <w:bCs/>
      <w:color w:val="365f91"/>
      <w:sz w:val="28"/>
      <w:szCs w:val="28"/>
    </w:rPr>
  </w:style>
  <w:style w:type="character" w:customStyle="1" w:styleId="style12289">
    <w:name w:val="Heading 1 Char"/>
    <w:basedOn w:val="style65"/>
    <w:link w:val="style1"/>
    <w:uiPriority w:val="9"/>
    <w:rPr>
      <w:b/>
      <w:bCs/>
      <w:color w:val="365f91"/>
      <w:sz w:val="28"/>
      <w:szCs w:val="28"/>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qFormat/>
    <w:uiPriority w:val="34"/>
    <w:pPr>
      <w:ind w:left="720"/>
      <w:contextualSpacing/>
    </w:pPr>
    <w:rPr/>
  </w:style>
  <w:style w:type="character" w:styleId="style85">
    <w:name w:val="Hyperlink"/>
    <w:basedOn w:val="style6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1244</Words>
  <Characters>7746</Characters>
  <Application>WPS Office</Application>
  <Paragraphs>189</Paragraphs>
  <CharactersWithSpaces>8836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2026-08-08T02:45:09Z</dcterms:created>
  <dc:creator>SM-A055F</dc:creator>
  <lastModifiedBy>SM-A055F</lastModifiedBy>
  <dcterms:modified xsi:type="dcterms:W3CDTF">2026-08-08T03:32:34Z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59b7f05e2afa49e39aab1c9993b312ad_21</vt:lpwstr>
  </property>
</Properties>
</file>