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7365D"/>
          <w:sz w:val="36"/>
        </w:rPr>
        <w:t>PROJETO DE ANÁLISE E FLUXO DE DADOS</w:t>
        <w:br/>
        <w:t>OLAP E ETL</w:t>
      </w:r>
    </w:p>
    <w:p>
      <w:pPr>
        <w:spacing w:before="360"/>
        <w:jc w:val="center"/>
      </w:pPr>
      <w:r>
        <w:rPr>
          <w:b/>
          <w:color w:val="17365D"/>
          <w:sz w:val="32"/>
        </w:rPr>
        <w:t>RELATÓRIO DA FASE 3 — DEMONSTRAÇÃO BATCH</w:t>
      </w:r>
    </w:p>
    <w:p>
      <w:pPr>
        <w:jc w:val="center"/>
      </w:pPr>
      <w:r>
        <w:rPr>
          <w:b/>
          <w:sz w:val="26"/>
        </w:rPr>
        <w:t>Tarefa 1 — Dataset e cenário de negócio</w:t>
      </w:r>
    </w:p>
    <w:p>
      <w:pPr>
        <w:spacing w:before="480"/>
        <w:jc w:val="center"/>
      </w:pPr>
      <w:r>
        <w:rPr>
          <w:i/>
          <w:color w:val="505050"/>
          <w:sz w:val="21"/>
        </w:rPr>
        <w:t>Criação do conjunto de vendas, definição das regras de validação e preparação do cenário que será utilizado na demonstração batch com Apache Beam.</w:t>
      </w:r>
    </w:p>
    <w:p>
      <w:pPr>
        <w:spacing w:before="520"/>
        <w:jc w:val="center"/>
      </w:pPr>
      <w:r>
        <w:rPr>
          <w:sz w:val="22"/>
        </w:rPr>
        <w:t>Produto 2 — Apache Beam</w:t>
        <w:br/>
        <w:t>Fase 3 — Demonstração Batch</w:t>
        <w:br/>
        <w:t>Data do registro: 20/10/2026</w:t>
      </w:r>
    </w:p>
    <w:p>
      <w:r>
        <w:br w:type="page"/>
      </w:r>
    </w:p>
    <w:p>
      <w:pPr>
        <w:pStyle w:val="Heading1"/>
      </w:pPr>
      <w:r>
        <w:t>1. Objetivo da tarefa</w:t>
      </w:r>
    </w:p>
    <w:p>
      <w:r>
        <w:t>A primeira tarefa da Fase 3 teve como objetivo criar a base de dados que será utilizada na demonstração batch e definir um problema de negócio simples, verificável e coerente com a disciplina de OLAP e ETL.</w:t>
      </w:r>
    </w:p>
    <w:p>
      <w:r>
        <w:t>O cenário escolhido foi o de uma empresa que comercializa produtos de tecnologia e precisa consolidar suas vendas para identificar o faturamento por categoria. A base foi propositalmente mantida pequena para permitir conferência manual, execução rápida e apresentação clara dos conceitos do Apache Beam.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21"/>
              </w:rPr>
              <w:t>Pergunta de negócio</w:t>
              <w:br/>
            </w:r>
            <w:r>
              <w:t>Qual foi o faturamento total de cada categoria de produtos no período analisado, considerando apenas registros válidos?</w:t>
            </w:r>
          </w:p>
        </w:tc>
      </w:tr>
    </w:tbl>
    <w:p>
      <w:pPr>
        <w:spacing w:after="0"/>
      </w:pPr>
    </w:p>
    <w:p>
      <w:pPr>
        <w:pStyle w:val="Heading1"/>
      </w:pPr>
      <w:r>
        <w:t>2. Arquivos produzidos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Arquivo</w:t>
            </w:r>
          </w:p>
        </w:tc>
        <w:tc>
          <w:tcPr>
            <w:tcW w:type="dxa" w:w="3515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Local previsto no repositório</w:t>
            </w:r>
          </w:p>
        </w:tc>
        <w:tc>
          <w:tcPr>
            <w:tcW w:type="dxa" w:w="340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Finalidade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vendas.csv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data/vendas.csv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Dataset de entrada da demonstração batch.</w:t>
            </w:r>
          </w:p>
        </w:tc>
      </w:tr>
      <w:tr>
        <w:tc>
          <w:tcPr>
            <w:tcW w:type="dxa" w:w="22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cenario.md</w:t>
            </w:r>
          </w:p>
        </w:tc>
        <w:tc>
          <w:tcPr>
            <w:tcW w:type="dxa" w:w="351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demos/batch/cenario.md</w:t>
            </w:r>
          </w:p>
        </w:tc>
        <w:tc>
          <w:tcPr>
            <w:tcW w:type="dxa" w:w="34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Descrição do problema, estrutura dos dados, regras e resultados de referência.</w:t>
            </w:r>
          </w:p>
        </w:tc>
      </w:tr>
    </w:tbl>
    <w:p>
      <w:pPr>
        <w:spacing w:after="0"/>
      </w:pPr>
    </w:p>
    <w:p>
      <w:r>
        <w:t>Esses dois arquivos formam a entrega desta tarefa e servem como entrada para as próximas atividades: leitura e parse, validação, agregações e geração da saída.</w:t>
      </w:r>
    </w:p>
    <w:p>
      <w:pPr>
        <w:pStyle w:val="Heading1"/>
      </w:pPr>
      <w:r>
        <w:t>3. Estrutura do dataset</w:t>
      </w:r>
    </w:p>
    <w:p>
      <w:r>
        <w:t>O arquivo CSV foi criado com cinco campos: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814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243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Tipo esperado</w:t>
            </w:r>
          </w:p>
        </w:tc>
        <w:tc>
          <w:tcPr>
            <w:tcW w:type="dxa" w:w="4932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AAAA-MM-DD</w:t>
            </w:r>
          </w:p>
        </w:tc>
        <w:tc>
          <w:tcPr>
            <w:tcW w:type="dxa" w:w="49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 em que a venda ocorreu.</w:t>
            </w:r>
          </w:p>
        </w:tc>
      </w:tr>
      <w:t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produto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49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Nome do produto vendido.</w:t>
            </w:r>
          </w:p>
        </w:tc>
      </w:tr>
      <w:t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categoria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49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Categoria utilizada na agregação.</w:t>
            </w:r>
          </w:p>
        </w:tc>
      </w:tr>
      <w:t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quantidade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inteiro</w:t>
            </w:r>
          </w:p>
        </w:tc>
        <w:tc>
          <w:tcPr>
            <w:tcW w:type="dxa" w:w="49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Quantidade de unidades vendidas.</w:t>
            </w:r>
          </w:p>
        </w:tc>
      </w:tr>
      <w:tr>
        <w:tc>
          <w:tcPr>
            <w:tcW w:type="dxa" w:w="18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preco</w:t>
            </w:r>
          </w:p>
        </w:tc>
        <w:tc>
          <w:tcPr>
            <w:tcW w:type="dxa" w:w="243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decimal</w:t>
            </w:r>
          </w:p>
        </w:tc>
        <w:tc>
          <w:tcPr>
            <w:tcW w:type="dxa" w:w="493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Preço unitário do produto.</w:t>
            </w:r>
          </w:p>
        </w:tc>
      </w:tr>
    </w:tbl>
    <w:p>
      <w:pPr>
        <w:spacing w:after="0"/>
      </w:pPr>
    </w:p>
    <w:p>
      <w:r>
        <w:t>As categorias utilizadas foram Eletronicos, Perifericos e Acessorios. Essa quantidade reduzida facilita a visualização dos resultados em sala.</w:t>
      </w:r>
    </w:p>
    <w:p>
      <w:pPr>
        <w:pStyle w:val="CodeBlock"/>
        <w:keepLines/>
        <w:shd w:fill="F2F2F2"/>
      </w:pPr>
      <w:r>
        <w:t>data,produto,categoria,quantidade,preco</w:t>
        <w:br/>
        <w:t>2026-10-01,Notebook,Eletronicos,2,3500.00</w:t>
        <w:br/>
        <w:t>2026-10-01,Mouse,Perifericos,5,100.00</w:t>
        <w:br/>
        <w:t>2026-10-02,Monitor,Eletronicos,3,1200.00</w:t>
        <w:br/>
        <w:t>...</w:t>
      </w:r>
    </w:p>
    <w:p>
      <w:r>
        <w:br w:type="page"/>
      </w:r>
    </w:p>
    <w:p>
      <w:pPr>
        <w:pStyle w:val="Heading1"/>
      </w:pPr>
      <w:r>
        <w:t>4. Registros válidos e inválidos</w:t>
      </w:r>
    </w:p>
    <w:p>
      <w:r>
        <w:t>O dataset contém 18 linhas de dados: 15 registros válidos e 3 registros inválidos adicionados propositalmente. Os registros inválidos serão úteis para comprovar, nas próximas tarefas, que a etapa de limpeza e validação está funcionando.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Registro inválido</w:t>
            </w:r>
          </w:p>
        </w:tc>
        <w:tc>
          <w:tcPr>
            <w:tcW w:type="dxa" w:w="2948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685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Comportamento esperado</w:t>
            </w:r>
          </w:p>
        </w:tc>
      </w:tr>
      <w:tr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Cabo USB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quantidade = 0</w:t>
            </w:r>
          </w:p>
        </w:tc>
        <w:tc>
          <w:tcPr>
            <w:tcW w:type="dxa" w:w="36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Não participar dos cálculos.</w:t>
            </w:r>
          </w:p>
        </w:tc>
      </w:tr>
      <w:tr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Webcam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preço = -250.00</w:t>
            </w:r>
          </w:p>
        </w:tc>
        <w:tc>
          <w:tcPr>
            <w:tcW w:type="dxa" w:w="36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Não participar dos cálculos.</w:t>
            </w:r>
          </w:p>
        </w:tc>
      </w:tr>
      <w:tr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Produto vazio</w:t>
            </w:r>
          </w:p>
        </w:tc>
        <w:tc>
          <w:tcPr>
            <w:tcW w:type="dxa" w:w="294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campo produto ausente</w:t>
            </w:r>
          </w:p>
        </w:tc>
        <w:tc>
          <w:tcPr>
            <w:tcW w:type="dxa" w:w="368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Não participar dos cálculos.</w:t>
            </w:r>
          </w:p>
        </w:tc>
      </w:tr>
    </w:tbl>
    <w:p>
      <w:pPr>
        <w:spacing w:after="0"/>
      </w:pPr>
    </w:p>
    <w:p>
      <w:pPr>
        <w:pStyle w:val="Heading2"/>
      </w:pPr>
      <w:r>
        <w:t>4.1 Regras de validação previstas</w:t>
      </w:r>
    </w:p>
    <w:p>
      <w:pPr>
        <w:pStyle w:val="ListBullet"/>
        <w:spacing w:after="40"/>
      </w:pPr>
      <w:r>
        <w:t>data deve estar preenchida;</w:t>
      </w:r>
    </w:p>
    <w:p>
      <w:pPr>
        <w:pStyle w:val="ListBullet"/>
        <w:spacing w:after="40"/>
      </w:pPr>
      <w:r>
        <w:t>produto deve estar preenchido;</w:t>
      </w:r>
    </w:p>
    <w:p>
      <w:pPr>
        <w:pStyle w:val="ListBullet"/>
        <w:spacing w:after="40"/>
      </w:pPr>
      <w:r>
        <w:t>categoria deve estar preenchida;</w:t>
      </w:r>
    </w:p>
    <w:p>
      <w:pPr>
        <w:pStyle w:val="ListBullet"/>
        <w:spacing w:after="40"/>
      </w:pPr>
      <w:r>
        <w:t>quantidade deve ser maior que zero;</w:t>
      </w:r>
    </w:p>
    <w:p>
      <w:pPr>
        <w:pStyle w:val="ListBullet"/>
        <w:spacing w:after="40"/>
      </w:pPr>
      <w:r>
        <w:t>preço deve ser maior que zero.</w:t>
      </w:r>
    </w:p>
    <w:p>
      <w:r>
        <w:t>A implementação dessas regras não pertence a esta tarefa; ela será realizada na etapa de leitura, transformação e validação. Nesta tarefa, os casos de teste foram apenas preparados no dataset.</w:t>
      </w:r>
    </w:p>
    <w:p>
      <w:pPr>
        <w:pStyle w:val="Heading1"/>
      </w:pPr>
      <w:r>
        <w:t>5. Transformação e resultado esperado</w:t>
      </w:r>
    </w:p>
    <w:p>
      <w:r>
        <w:t>A regra de negócio definida para cada registro válido é calcular o faturamento da venda:</w:t>
      </w:r>
    </w:p>
    <w:p>
      <w:pPr>
        <w:pStyle w:val="CodeBlock"/>
        <w:keepLines/>
        <w:shd w:fill="F2F2F2"/>
      </w:pPr>
      <w:r>
        <w:t>faturamento_da_venda = quantidade × preco</w:t>
      </w:r>
    </w:p>
    <w:p>
      <w:r>
        <w:t>Depois, o pipeline deverá associar cada valor à categoria correspondente e somar os valores com uma agregação por chave.</w:t>
      </w:r>
    </w:p>
    <w:p>
      <w:pPr>
        <w:pStyle w:val="CodeBlock"/>
        <w:keepLines/>
        <w:shd w:fill="F2F2F2"/>
      </w:pPr>
      <w:r>
        <w:t>Venda válida</w:t>
        <w:br/>
        <w:t xml:space="preserve">     ↓</w:t>
        <w:br/>
        <w:t>quantidade × preco</w:t>
        <w:br/>
        <w:t xml:space="preserve">     ↓</w:t>
        <w:br/>
        <w:t>(categoria, faturamento)</w:t>
        <w:br/>
        <w:t xml:space="preserve">     ↓</w:t>
        <w:br/>
        <w:t>CombinePerKey(sum)</w:t>
        <w:br/>
        <w:t xml:space="preserve">     ↓</w:t>
        <w:br/>
        <w:t>Faturamento por categoria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4649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Faturamento de referência</w:t>
            </w:r>
          </w:p>
        </w:tc>
      </w:tr>
      <w:tr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Eletronicos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R$ 17.400,00</w:t>
            </w:r>
          </w:p>
        </w:tc>
      </w:tr>
      <w:tr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8"/>
              </w:rPr>
              <w:t>Perifericos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8"/>
              </w:rPr>
              <w:t>R$ 3.150,00</w:t>
            </w:r>
          </w:p>
        </w:tc>
      </w:tr>
      <w:tr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Acessorios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R$ 1.620,00</w:t>
            </w:r>
          </w:p>
        </w:tc>
      </w:tr>
      <w:tr>
        <w:tc>
          <w:tcPr>
            <w:tcW w:type="dxa" w:w="453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8"/>
              </w:rPr>
              <w:t>TOTAL</w:t>
            </w:r>
          </w:p>
        </w:tc>
        <w:tc>
          <w:tcPr>
            <w:tcW w:type="dxa" w:w="464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8"/>
              </w:rPr>
              <w:t>R$ 22.170,00</w:t>
            </w:r>
          </w:p>
        </w:tc>
      </w:tr>
    </w:tbl>
    <w:p>
      <w:pPr>
        <w:spacing w:after="0"/>
      </w:pPr>
    </w:p>
    <w:p>
      <w:r>
        <w:t>A quantidade total de unidades dos registros válidos é de 46 unidades. Esses valores foram conferidos previamente e servirão como referência para os testes das próximas tarefas.</w:t>
      </w:r>
    </w:p>
    <w:p>
      <w:pPr>
        <w:pStyle w:val="Heading1"/>
      </w:pPr>
      <w:r>
        <w:t>6. Relação com ETL</w:t>
      </w:r>
    </w:p>
    <w:p>
      <w:r>
        <w:t>O cenário foi escolhido porque permite demonstrar de forma simples as etapas de um processo ETL, conteúdo central da disciplina.</w:t>
      </w:r>
    </w:p>
    <w:p>
      <w:pPr>
        <w:pStyle w:val="CodeBlock"/>
        <w:keepLines/>
        <w:shd w:fill="F2F2F2"/>
      </w:pPr>
      <w:r>
        <w:t>EXTRACT</w:t>
        <w:br/>
        <w:t>Ler data/vendas.csv</w:t>
        <w:br/>
        <w:br/>
        <w:t xml:space="preserve">    ↓</w:t>
        <w:br/>
        <w:br/>
        <w:t>TRANSFORM</w:t>
        <w:br/>
        <w:t>Converter tipos</w:t>
        <w:br/>
        <w:t>Validar registros</w:t>
        <w:br/>
        <w:t>Calcular faturamento</w:t>
        <w:br/>
        <w:t>Agrupar por categoria</w:t>
        <w:br/>
        <w:br/>
        <w:t xml:space="preserve">    ↓</w:t>
        <w:br/>
        <w:br/>
        <w:t>LOAD / OUTPUT</w:t>
        <w:br/>
        <w:t>Gerar resultado consolidado</w:t>
      </w:r>
    </w:p>
    <w:p>
      <w:r>
        <w:t>Na demonstração, o Apache Beam será responsável por organizar essas etapas em um pipeline de processamento batch.</w:t>
      </w:r>
    </w:p>
    <w:p>
      <w:pPr>
        <w:pStyle w:val="Heading1"/>
      </w:pPr>
      <w:r>
        <w:t>7. Observação sobre abertura do CSV no Excel</w:t>
      </w:r>
    </w:p>
    <w:p>
      <w:r>
        <w:t>Ao abrir o arquivo diretamente no Excel em configuração regional PT-BR, os campos podem aparecer concentrados na coluna A, porque o Excel pode esperar ponto e vírgula como delimitador. Isso não significa que o arquivo esteja incorreto.</w:t>
      </w:r>
    </w:p>
    <w:p>
      <w:r>
        <w:t>O dataset oficial permanece separado por vírgulas, porque esse delimitador foi definido para o pipeline. Para visualizar as colunas corretamente no Excel, pode-se usar Dados → De Texto/CSV e selecionar Vírgula como delimitador, ou Texto para Colunas → Delimitado → Vírgula.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21"/>
              </w:rPr>
              <w:t>Decisão do projeto</w:t>
              <w:br/>
            </w:r>
            <w:r>
              <w:t>O CSV oficial não foi alterado apenas para se adaptar à abertura automática do Excel. Manter o delimitador em vírgula deixa o formato explícito e previsível para a implementação do pipeline.</w:t>
            </w:r>
          </w:p>
        </w:tc>
      </w:tr>
    </w:tbl>
    <w:p>
      <w:pPr>
        <w:spacing w:after="0"/>
      </w:pPr>
    </w:p>
    <w:p>
      <w:pPr>
        <w:pStyle w:val="Heading1"/>
      </w:pPr>
      <w:r>
        <w:t>8. Justificativas das escolhas</w:t>
      </w:r>
    </w:p>
    <w:p>
      <w:pPr>
        <w:pStyle w:val="ListBullet"/>
        <w:spacing w:after="40"/>
      </w:pPr>
      <w:r>
        <w:t>Cenário de vendas: facilita a relação com ETL, agregações e indicadores de negócio.</w:t>
      </w:r>
    </w:p>
    <w:p>
      <w:pPr>
        <w:pStyle w:val="ListBullet"/>
        <w:spacing w:after="40"/>
      </w:pPr>
      <w:r>
        <w:t>Dataset pequeno: permite validação manual e reduz risco durante a apresentação.</w:t>
      </w:r>
    </w:p>
    <w:p>
      <w:pPr>
        <w:pStyle w:val="ListBullet"/>
        <w:spacing w:after="40"/>
      </w:pPr>
      <w:r>
        <w:t>Três categorias: torna o resultado final legível e simples de explicar.</w:t>
      </w:r>
    </w:p>
    <w:p>
      <w:pPr>
        <w:pStyle w:val="ListBullet"/>
        <w:spacing w:after="40"/>
      </w:pPr>
      <w:r>
        <w:t>Registros inválidos controlados: permitem provar a etapa de limpeza sem depender de erros aleatórios.</w:t>
      </w:r>
    </w:p>
    <w:p>
      <w:pPr>
        <w:pStyle w:val="ListBullet"/>
        <w:spacing w:after="40"/>
      </w:pPr>
      <w:r>
        <w:t>Arquivo CSV: é simples, portátil, legível e não exige banco de dados ou serviço externo.</w:t>
      </w:r>
    </w:p>
    <w:p>
      <w:pPr>
        <w:pStyle w:val="ListBullet"/>
        <w:spacing w:after="40"/>
      </w:pPr>
      <w:r>
        <w:t>Resultado conhecido previamente: permite detectar rapidamente erros no pipeline.</w:t>
      </w:r>
    </w:p>
    <w:p>
      <w:pPr>
        <w:pStyle w:val="Heading1"/>
      </w:pPr>
      <w:r>
        <w:t>9. Critério de conclusão 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6633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type="dxa" w:w="2551"/>
            <w:shd w:fill="17365D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66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Dataset de vendas criado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CONCLUÍDO</w:t>
            </w:r>
          </w:p>
        </w:tc>
      </w:tr>
      <w:tr>
        <w:tc>
          <w:tcPr>
            <w:tcW w:type="dxa" w:w="66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Campos e tipos definidos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CONCLUÍDO</w:t>
            </w:r>
          </w:p>
        </w:tc>
      </w:tr>
      <w:tr>
        <w:tc>
          <w:tcPr>
            <w:tcW w:type="dxa" w:w="66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Cenário de negócio descrito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CONCLUÍDO</w:t>
            </w:r>
          </w:p>
        </w:tc>
      </w:tr>
      <w:tr>
        <w:tc>
          <w:tcPr>
            <w:tcW w:type="dxa" w:w="66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Casos inválidos preparados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CONCLUÍDO</w:t>
            </w:r>
          </w:p>
        </w:tc>
      </w:tr>
      <w:tr>
        <w:tc>
          <w:tcPr>
            <w:tcW w:type="dxa" w:w="66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Regras de validação especificadas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CONCLUÍDO</w:t>
            </w:r>
          </w:p>
        </w:tc>
      </w:tr>
      <w:tr>
        <w:tc>
          <w:tcPr>
            <w:tcW w:type="dxa" w:w="66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Resultados de referência calculados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7"/>
              </w:rPr>
              <w:t>CONCLUÍDO</w:t>
            </w:r>
          </w:p>
        </w:tc>
      </w:tr>
      <w:tr>
        <w:tc>
          <w:tcPr>
            <w:tcW w:type="dxa" w:w="663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Arquivos organizados para o repositório</w:t>
            </w:r>
          </w:p>
        </w:tc>
        <w:tc>
          <w:tcPr>
            <w:tcW w:type="dxa" w:w="255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CONCLUÍDO</w:t>
            </w:r>
          </w:p>
        </w:tc>
      </w:tr>
    </w:tbl>
    <w:p>
      <w:pPr>
        <w:spacing w:after="0"/>
      </w:pPr>
    </w:p>
    <w:p>
      <w:r>
        <w:t>Com esses artefatos, a Tarefa 1 — Dataset e cenário está concluída e fornece uma base estável para a próxima tarefa, que deverá implementar leitura do CSV, parse, conversão de tipos e validação dos registros.</w:t>
      </w:r>
    </w:p>
    <w:p>
      <w:pPr>
        <w:pStyle w:val="Heading1"/>
      </w:pPr>
      <w:r>
        <w:t>10. Próxima etapa</w:t>
      </w:r>
    </w:p>
    <w:p>
      <w:pPr>
        <w:pStyle w:val="CodeBlock"/>
        <w:keepLines/>
        <w:shd w:fill="F2F2F2"/>
      </w:pPr>
      <w:r>
        <w:t>data/vendas.csv</w:t>
        <w:br/>
        <w:t xml:space="preserve">      ↓</w:t>
        <w:br/>
        <w:t>ReadFromText</w:t>
        <w:br/>
        <w:t xml:space="preserve">      ↓</w:t>
        <w:br/>
        <w:t>Remover cabeçalho</w:t>
        <w:br/>
        <w:t xml:space="preserve">      ↓</w:t>
        <w:br/>
        <w:t>Parse dos campos</w:t>
        <w:br/>
        <w:t xml:space="preserve">      ↓</w:t>
        <w:br/>
        <w:t>Conversão de tipos</w:t>
        <w:br/>
        <w:t xml:space="preserve">      ↓</w:t>
        <w:br/>
        <w:t>Validação</w:t>
        <w:br/>
        <w:t xml:space="preserve">      ↓</w:t>
        <w:br/>
        <w:t>PCollection de vendas válidas</w:t>
      </w:r>
    </w:p>
    <w:p>
      <w:r>
        <w:t>A próxima tarefa deverá utilizar exatamente o formato definido neste relatório, evitando mudanças simultâneas no dataset e no código durante a integração.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7"/>
      </w:rPr>
      <w:t>UniSales | Produto 2 - Apache Beam | Fase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/>
      <w:ind w:left="255" w:right="113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