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4472C4"/>
          <w:sz w:val="26"/>
        </w:rPr>
        <w:t>PLAN DE TRABAJO</w:t>
      </w:r>
    </w:p>
    <w:p>
      <w:pPr>
        <w:pStyle w:val="Title"/>
        <w:jc w:val="center"/>
      </w:pPr>
      <w:r>
        <w:t>Sistema académico de registro y consulta de padrón electoral</w:t>
      </w:r>
    </w:p>
    <w:p>
      <w:pPr>
        <w:jc w:val="center"/>
      </w:pPr>
      <w:r>
        <w:rPr>
          <w:color w:val="5B6573"/>
          <w:sz w:val="30"/>
        </w:rPr>
        <w:t>Proyecto Final · Base de Datos I</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20"/>
            </w:pPr>
            <w:r/>
            <w:r>
              <w:rPr>
                <w:rFonts w:ascii="Aptos" w:hAnsi="Aptos"/>
                <w:b/>
                <w:color w:val="17365D"/>
                <w:sz w:val="20"/>
              </w:rPr>
              <w:t>Institución</w:t>
            </w:r>
          </w:p>
        </w:tc>
        <w:tc>
          <w:tcPr>
            <w:tcW w:type="dxa" w:w="4968"/>
            <w:vAlign w:val="center"/>
          </w:tcPr>
          <w:p>
            <w:pPr>
              <w:spacing w:after="20"/>
            </w:pPr>
            <w:r/>
            <w:r>
              <w:rPr>
                <w:rFonts w:ascii="Aptos" w:hAnsi="Aptos"/>
                <w:b w:val="0"/>
                <w:sz w:val="20"/>
              </w:rPr>
              <w:t>Universidad Mariano Gálvez de Guatemala · Campus Jutiapa</w:t>
            </w:r>
          </w:p>
        </w:tc>
      </w:tr>
      <w:tr>
        <w:tc>
          <w:tcPr>
            <w:tcW w:type="dxa" w:w="4968"/>
            <w:vAlign w:val="center"/>
            <w:shd w:fill="D9EAF7"/>
          </w:tcPr>
          <w:p>
            <w:pPr>
              <w:spacing w:after="20"/>
            </w:pPr>
            <w:r/>
            <w:r>
              <w:rPr>
                <w:rFonts w:ascii="Aptos" w:hAnsi="Aptos"/>
                <w:b/>
                <w:color w:val="17365D"/>
                <w:sz w:val="20"/>
              </w:rPr>
              <w:t>Asignatura</w:t>
            </w:r>
          </w:p>
        </w:tc>
        <w:tc>
          <w:tcPr>
            <w:tcW w:type="dxa" w:w="4968"/>
            <w:vAlign w:val="center"/>
          </w:tcPr>
          <w:p>
            <w:pPr>
              <w:spacing w:after="20"/>
            </w:pPr>
            <w:r/>
            <w:r>
              <w:rPr>
                <w:rFonts w:ascii="Aptos" w:hAnsi="Aptos"/>
                <w:b w:val="0"/>
                <w:sz w:val="20"/>
              </w:rPr>
              <w:t>Base de Datos I</w:t>
            </w:r>
          </w:p>
        </w:tc>
      </w:tr>
      <w:tr>
        <w:tc>
          <w:tcPr>
            <w:tcW w:type="dxa" w:w="4968"/>
            <w:vAlign w:val="center"/>
            <w:shd w:fill="D9EAF7"/>
          </w:tcPr>
          <w:p>
            <w:pPr>
              <w:spacing w:after="20"/>
            </w:pPr>
            <w:r/>
            <w:r>
              <w:rPr>
                <w:rFonts w:ascii="Aptos" w:hAnsi="Aptos"/>
                <w:b/>
                <w:color w:val="17365D"/>
                <w:sz w:val="20"/>
              </w:rPr>
              <w:t>Repositorio</w:t>
            </w:r>
          </w:p>
        </w:tc>
        <w:tc>
          <w:tcPr>
            <w:tcW w:type="dxa" w:w="4968"/>
            <w:vAlign w:val="center"/>
          </w:tcPr>
          <w:p>
            <w:pPr>
              <w:spacing w:after="20"/>
            </w:pPr>
            <w:r/>
            <w:r>
              <w:rPr>
                <w:rFonts w:ascii="Aptos" w:hAnsi="Aptos"/>
                <w:b w:val="0"/>
                <w:sz w:val="20"/>
              </w:rPr>
              <w:t>Proyecto-BD1-Padron</w:t>
            </w:r>
          </w:p>
        </w:tc>
      </w:tr>
      <w:tr>
        <w:tc>
          <w:tcPr>
            <w:tcW w:type="dxa" w:w="4968"/>
            <w:vAlign w:val="center"/>
            <w:shd w:fill="D9EAF7"/>
          </w:tcPr>
          <w:p>
            <w:pPr>
              <w:spacing w:after="20"/>
            </w:pPr>
            <w:r/>
            <w:r>
              <w:rPr>
                <w:rFonts w:ascii="Aptos" w:hAnsi="Aptos"/>
                <w:b/>
                <w:color w:val="17365D"/>
                <w:sz w:val="20"/>
              </w:rPr>
              <w:t>Versión del documento</w:t>
            </w:r>
          </w:p>
        </w:tc>
        <w:tc>
          <w:tcPr>
            <w:tcW w:type="dxa" w:w="4968"/>
            <w:vAlign w:val="center"/>
          </w:tcPr>
          <w:p>
            <w:pPr>
              <w:spacing w:after="20"/>
            </w:pPr>
            <w:r/>
            <w:r>
              <w:rPr>
                <w:rFonts w:ascii="Aptos" w:hAnsi="Aptos"/>
                <w:b w:val="0"/>
                <w:sz w:val="20"/>
              </w:rPr>
              <w:t>1.0 · Plan inicial sujeto a verificación y aprobación</w:t>
            </w:r>
          </w:p>
        </w:tc>
      </w:tr>
    </w:tbl>
    <w:p/>
    <w:tbl>
      <w:tblPr>
        <w:tblW w:type="auto" w:w="0"/>
        <w:jc w:val="center"/>
        <w:tblLook w:firstColumn="1" w:firstRow="1" w:lastColumn="0" w:lastRow="0" w:noHBand="0" w:noVBand="1" w:val="04A0"/>
      </w:tblPr>
      <w:tblGrid>
        <w:gridCol w:w="9936"/>
      </w:tblGrid>
      <w:tr>
        <w:tc>
          <w:tcPr>
            <w:tcW w:type="dxa" w:w="9936"/>
            <w:shd w:fill="EAF1F8"/>
          </w:tcPr>
          <w:p>
            <w:pPr>
              <w:spacing w:after="60"/>
            </w:pPr>
            <w:r>
              <w:rPr>
                <w:b/>
                <w:color w:val="17365D"/>
              </w:rPr>
              <w:t xml:space="preserve">Propósito. </w:t>
            </w:r>
            <w:r>
              <w:t>Definir una ruta de implementación sencilla, verificable y documentada que cubra los requerimientos del proyecto académico, distinguiendo los requisitos indicados por el docente de las decisiones técnicas propuestas por el equipo.</w:t>
            </w:r>
          </w:p>
        </w:tc>
      </w:tr>
    </w:tbl>
    <w:p>
      <w:pPr>
        <w:spacing w:after="0"/>
      </w:pPr>
    </w:p>
    <w:p>
      <w:r>
        <w:br w:type="page"/>
      </w:r>
    </w:p>
    <w:p>
      <w:pPr>
        <w:pStyle w:val="Heading1"/>
      </w:pPr>
      <w:r>
        <w:t>1. Objetivo del proyecto</w:t>
      </w:r>
    </w:p>
    <w:p>
      <w:r>
        <w:t>Diseñar, implementar y documentar una aplicación académica para registrar nuevos empadronamientos y consultar si un ciudadano está empadronado. La información deberá almacenarse en una base de datos relacional instalada en un servidor configurado por el equipo. El énfasis principal estará en la calidad del diseño de datos, la normalización hasta la Tercera Forma Normal (3FN), la integridad aplicada desde SQL Server, la conectividad segura, las pruebas y la documentación.</w:t>
      </w:r>
    </w:p>
    <w:p>
      <w:pPr>
        <w:pStyle w:val="Heading1"/>
      </w:pPr>
      <w:r>
        <w:t>2. Alcance funcional requerido</w:t>
      </w:r>
    </w:p>
    <w:p>
      <w:pPr>
        <w:pStyle w:val="Heading2"/>
      </w:pPr>
      <w:r>
        <w:t>2.1 Módulo de registro</w:t>
      </w:r>
    </w:p>
    <w:p>
      <w:pPr>
        <w:pStyle w:val="ListBullet"/>
        <w:spacing w:after="40"/>
      </w:pPr>
      <w:r>
        <w:t>Permitir capturar los datos requeridos para un nuevo empadronamiento.</w:t>
      </w:r>
    </w:p>
    <w:p>
      <w:pPr>
        <w:pStyle w:val="ListBullet"/>
        <w:spacing w:after="40"/>
      </w:pPr>
      <w:r>
        <w:t>Generar automáticamente un número de empadronamiento aleatorio, alfanumérico, de 10 caracteres, único y no editable por el usuario.</w:t>
      </w:r>
    </w:p>
    <w:p>
      <w:pPr>
        <w:pStyle w:val="ListBullet"/>
        <w:spacing w:after="40"/>
      </w:pPr>
      <w:r>
        <w:t>Validar el CUI/DPI, las fechas, la edad mínima definida por el documento, los catálogos permitidos y la ubicación.</w:t>
      </w:r>
    </w:p>
    <w:p>
      <w:pPr>
        <w:pStyle w:val="ListBullet"/>
        <w:spacing w:after="40"/>
      </w:pPr>
      <w:r>
        <w:t>Almacenar la información en mayúsculas, aunque el usuario la escriba en otro formato.</w:t>
      </w:r>
    </w:p>
    <w:p>
      <w:pPr>
        <w:pStyle w:val="ListBullet"/>
        <w:spacing w:after="40"/>
      </w:pPr>
      <w:r>
        <w:t>Mostrar el número generado y un mensaje de confirmación cuando el registro sea exitoso.</w:t>
      </w:r>
    </w:p>
    <w:p>
      <w:pPr>
        <w:pStyle w:val="ListBullet"/>
        <w:spacing w:after="40"/>
      </w:pPr>
      <w:r>
        <w:t>Mostrar mensajes claros cuando una validación falle.</w:t>
      </w:r>
    </w:p>
    <w:p>
      <w:pPr>
        <w:pStyle w:val="Heading2"/>
      </w:pPr>
      <w:r>
        <w:t>2.2 Módulo de consulta</w:t>
      </w:r>
    </w:p>
    <w:p>
      <w:pPr>
        <w:pStyle w:val="ListBullet"/>
        <w:spacing w:after="40"/>
      </w:pPr>
      <w:r>
        <w:t>Permitir elegir si la búsqueda se realiza por número de empadronamiento o por CUI/DPI.</w:t>
      </w:r>
    </w:p>
    <w:p>
      <w:pPr>
        <w:pStyle w:val="ListBullet"/>
        <w:spacing w:after="40"/>
      </w:pPr>
      <w:r>
        <w:t>Solicitar el número correspondiente, la fecha de nacimiento registrada y un código de verificación generado por la aplicación, con opción de cambiarlo.</w:t>
      </w:r>
    </w:p>
    <w:p>
      <w:pPr>
        <w:pStyle w:val="ListBullet"/>
        <w:spacing w:after="40"/>
      </w:pPr>
      <w:r>
        <w:t>Comprobar que la fecha de nacimiento coincida con la registrada.</w:t>
      </w:r>
    </w:p>
    <w:p>
      <w:pPr>
        <w:pStyle w:val="ListBullet"/>
        <w:spacing w:after="40"/>
      </w:pPr>
      <w:r>
        <w:t>Mostrar, cuando exista coincidencia, el estado del registro y los datos de identificación, datos personales, vecindad, residencia, dirección geoelectoral, lugar de votación y condición de afiliación.</w:t>
      </w:r>
    </w:p>
    <w:p>
      <w:pPr>
        <w:pStyle w:val="ListBullet"/>
        <w:spacing w:after="40"/>
      </w:pPr>
      <w:r>
        <w:t>Si no hay coincidencia o el código de verificación es incorrecto, mostrar un mensaje apropiado sin revelar información adicional.</w:t>
      </w:r>
    </w:p>
    <w:p>
      <w:pPr>
        <w:pStyle w:val="Heading2"/>
      </w:pPr>
      <w:r>
        <w:t>2.3 Fuera del alcance mínimo</w:t>
      </w:r>
    </w:p>
    <w:p>
      <w:r>
        <w:t>No se requiere integrar el sistema con registros oficiales nacionales, procesar votaciones o escrutinios, ni administrar organizaciones políticas. Los módulos de actualización y eliminación son opcionales; para mantener el proyecto manejable, no se incorporarán salvo que exista tiempo y autorización.</w:t>
      </w:r>
    </w:p>
    <w:p>
      <w:pPr>
        <w:pStyle w:val="Heading1"/>
      </w:pPr>
      <w:r>
        <w:t>3. Arquitectura recomendada</w:t>
      </w:r>
    </w:p>
    <w:p>
      <w:r>
        <w:t>Se propone separar la aplicación del motor de base de datos. La aplicación se ejecutará en Windows 11 de la computadora de desarrollo y demostración; SQL Server se ejecutará dentro de una máquina virtual de VirtualBox con Windows Server. Ambos equipos se comunicarán por una red virtual configurada y probada.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Componente</w:t>
            </w:r>
          </w:p>
        </w:tc>
        <w:tc>
          <w:tcPr>
            <w:tcW w:type="dxa" w:w="3312"/>
            <w:vAlign w:val="center"/>
            <w:shd w:fill="17365D"/>
          </w:tcPr>
          <w:p>
            <w:pPr>
              <w:spacing w:after="20"/>
            </w:pPr>
            <w:r/>
            <w:r>
              <w:rPr>
                <w:rFonts w:ascii="Aptos" w:hAnsi="Aptos"/>
                <w:b/>
                <w:color w:val="FFFFFF"/>
                <w:sz w:val="18"/>
              </w:rPr>
              <w:t>Ubicación propuesta</w:t>
            </w:r>
          </w:p>
        </w:tc>
        <w:tc>
          <w:tcPr>
            <w:tcW w:type="dxa" w:w="3312"/>
            <w:vAlign w:val="center"/>
            <w:shd w:fill="17365D"/>
          </w:tcPr>
          <w:p>
            <w:pPr>
              <w:spacing w:after="20"/>
            </w:pPr>
            <w:r/>
            <w:r>
              <w:rPr>
                <w:rFonts w:ascii="Aptos" w:hAnsi="Aptos"/>
                <w:b/>
                <w:color w:val="FFFFFF"/>
                <w:sz w:val="18"/>
              </w:rPr>
              <w:t>Responsabilidad</w:t>
            </w:r>
          </w:p>
        </w:tc>
      </w:tr>
      <w:tr>
        <w:tc>
          <w:tcPr>
            <w:tcW w:type="dxa" w:w="3312"/>
            <w:vAlign w:val="center"/>
          </w:tcPr>
          <w:p>
            <w:pPr>
              <w:spacing w:after="20"/>
            </w:pPr>
            <w:r/>
            <w:r>
              <w:rPr>
                <w:rFonts w:ascii="Aptos" w:hAnsi="Aptos"/>
                <w:b w:val="0"/>
                <w:sz w:val="18"/>
              </w:rPr>
              <w:t>Aplicación</w:t>
            </w:r>
          </w:p>
        </w:tc>
        <w:tc>
          <w:tcPr>
            <w:tcW w:type="dxa" w:w="3312"/>
            <w:vAlign w:val="center"/>
          </w:tcPr>
          <w:p>
            <w:pPr>
              <w:spacing w:after="20"/>
            </w:pPr>
            <w:r/>
            <w:r>
              <w:rPr>
                <w:rFonts w:ascii="Aptos" w:hAnsi="Aptos"/>
                <w:b w:val="0"/>
                <w:sz w:val="18"/>
              </w:rPr>
              <w:t>Windows 11 físico</w:t>
            </w:r>
          </w:p>
        </w:tc>
        <w:tc>
          <w:tcPr>
            <w:tcW w:type="dxa" w:w="3312"/>
            <w:vAlign w:val="center"/>
          </w:tcPr>
          <w:p>
            <w:pPr>
              <w:spacing w:after="20"/>
            </w:pPr>
            <w:r/>
            <w:r>
              <w:rPr>
                <w:rFonts w:ascii="Aptos" w:hAnsi="Aptos"/>
                <w:b w:val="0"/>
                <w:sz w:val="18"/>
              </w:rPr>
              <w:t>Interfaz de registro y consulta; validaciones de experiencia de usuario; conexión a SQL Server.</w:t>
            </w:r>
          </w:p>
        </w:tc>
      </w:tr>
      <w:tr>
        <w:tc>
          <w:tcPr>
            <w:tcW w:type="dxa" w:w="3312"/>
            <w:vAlign w:val="center"/>
          </w:tcPr>
          <w:p>
            <w:pPr>
              <w:spacing w:after="20"/>
            </w:pPr>
            <w:r/>
            <w:r>
              <w:rPr>
                <w:rFonts w:ascii="Aptos" w:hAnsi="Aptos"/>
                <w:b w:val="0"/>
                <w:sz w:val="18"/>
              </w:rPr>
              <w:t>Servidor</w:t>
            </w:r>
          </w:p>
        </w:tc>
        <w:tc>
          <w:tcPr>
            <w:tcW w:type="dxa" w:w="3312"/>
            <w:vAlign w:val="center"/>
          </w:tcPr>
          <w:p>
            <w:pPr>
              <w:spacing w:after="20"/>
            </w:pPr>
            <w:r/>
            <w:r>
              <w:rPr>
                <w:rFonts w:ascii="Aptos" w:hAnsi="Aptos"/>
                <w:b w:val="0"/>
                <w:sz w:val="18"/>
              </w:rPr>
              <w:t>Máquina virtual VirtualBox con Windows Server</w:t>
            </w:r>
          </w:p>
        </w:tc>
        <w:tc>
          <w:tcPr>
            <w:tcW w:type="dxa" w:w="3312"/>
            <w:vAlign w:val="center"/>
          </w:tcPr>
          <w:p>
            <w:pPr>
              <w:spacing w:after="20"/>
            </w:pPr>
            <w:r/>
            <w:r>
              <w:rPr>
                <w:rFonts w:ascii="Aptos" w:hAnsi="Aptos"/>
                <w:b w:val="0"/>
                <w:sz w:val="18"/>
              </w:rPr>
              <w:t>Equipo lógico dedicado a alojar el motor de base de datos.</w:t>
            </w:r>
          </w:p>
        </w:tc>
      </w:tr>
      <w:tr>
        <w:tc>
          <w:tcPr>
            <w:tcW w:type="dxa" w:w="3312"/>
            <w:vAlign w:val="center"/>
          </w:tcPr>
          <w:p>
            <w:pPr>
              <w:spacing w:after="20"/>
            </w:pPr>
            <w:r/>
            <w:r>
              <w:rPr>
                <w:rFonts w:ascii="Aptos" w:hAnsi="Aptos"/>
                <w:b w:val="0"/>
                <w:sz w:val="18"/>
              </w:rPr>
              <w:t>Motor</w:t>
            </w:r>
          </w:p>
        </w:tc>
        <w:tc>
          <w:tcPr>
            <w:tcW w:type="dxa" w:w="3312"/>
            <w:vAlign w:val="center"/>
          </w:tcPr>
          <w:p>
            <w:pPr>
              <w:spacing w:after="20"/>
            </w:pPr>
            <w:r/>
            <w:r>
              <w:rPr>
                <w:rFonts w:ascii="Aptos" w:hAnsi="Aptos"/>
                <w:b w:val="0"/>
                <w:sz w:val="18"/>
              </w:rPr>
              <w:t>SQL Server instalado en Windows Server</w:t>
            </w:r>
          </w:p>
        </w:tc>
        <w:tc>
          <w:tcPr>
            <w:tcW w:type="dxa" w:w="3312"/>
            <w:vAlign w:val="center"/>
          </w:tcPr>
          <w:p>
            <w:pPr>
              <w:spacing w:after="20"/>
            </w:pPr>
            <w:r/>
            <w:r>
              <w:rPr>
                <w:rFonts w:ascii="Aptos" w:hAnsi="Aptos"/>
                <w:b w:val="0"/>
                <w:sz w:val="18"/>
              </w:rPr>
              <w:t>Tablas, relaciones, restricciones, procedimientos y almacenamiento persistente.</w:t>
            </w:r>
          </w:p>
        </w:tc>
      </w:tr>
      <w:tr>
        <w:tc>
          <w:tcPr>
            <w:tcW w:type="dxa" w:w="3312"/>
            <w:vAlign w:val="center"/>
          </w:tcPr>
          <w:p>
            <w:pPr>
              <w:spacing w:after="20"/>
            </w:pPr>
            <w:r/>
            <w:r>
              <w:rPr>
                <w:rFonts w:ascii="Aptos" w:hAnsi="Aptos"/>
                <w:b w:val="0"/>
                <w:sz w:val="18"/>
              </w:rPr>
              <w:t>Control de versiones</w:t>
            </w:r>
          </w:p>
        </w:tc>
        <w:tc>
          <w:tcPr>
            <w:tcW w:type="dxa" w:w="3312"/>
            <w:vAlign w:val="center"/>
          </w:tcPr>
          <w:p>
            <w:pPr>
              <w:spacing w:after="20"/>
            </w:pPr>
            <w:r/>
            <w:r>
              <w:rPr>
                <w:rFonts w:ascii="Aptos" w:hAnsi="Aptos"/>
                <w:b w:val="0"/>
                <w:sz w:val="18"/>
              </w:rPr>
              <w:t>Git local y GitHub privado</w:t>
            </w:r>
          </w:p>
        </w:tc>
        <w:tc>
          <w:tcPr>
            <w:tcW w:type="dxa" w:w="3312"/>
            <w:vAlign w:val="center"/>
          </w:tcPr>
          <w:p>
            <w:pPr>
              <w:spacing w:after="20"/>
            </w:pPr>
            <w:r/>
            <w:r>
              <w:rPr>
                <w:rFonts w:ascii="Aptos" w:hAnsi="Aptos"/>
                <w:b w:val="0"/>
                <w:sz w:val="18"/>
              </w:rPr>
              <w:t>Código, scripts, diagramas y documentación; historial de cambios y colaboración.</w:t>
            </w:r>
          </w:p>
        </w:tc>
      </w:tr>
    </w:tbl>
    <w:tbl>
      <w:tblPr>
        <w:tblW w:type="auto" w:w="0"/>
        <w:jc w:val="center"/>
        <w:tblLook w:firstColumn="1" w:firstRow="1" w:lastColumn="0" w:lastRow="0" w:noHBand="0" w:noVBand="1" w:val="04A0"/>
      </w:tblPr>
      <w:tblGrid>
        <w:gridCol w:w="9936"/>
      </w:tblGrid>
      <w:tr>
        <w:tc>
          <w:tcPr>
            <w:tcW w:type="dxa" w:w="9936"/>
            <w:shd w:fill="FFF2CC"/>
          </w:tcPr>
          <w:p>
            <w:pPr>
              <w:spacing w:after="60"/>
            </w:pPr>
            <w:r>
              <w:rPr>
                <w:b/>
                <w:color w:val="17365D"/>
              </w:rPr>
              <w:t xml:space="preserve">Clasificación de la arquitectura. </w:t>
            </w:r>
            <w:r>
              <w:t>Windows Server, SQL Server, nombre del servidor e IP especificada son requisitos del documento del proyecto. Ejecutar el servidor como máquina virtual y ejecutar la aplicación en Windows 11 físico son decisiones de implementación propuestas, no ubicaciones impuestas expresamente. Antes de cerrar esta arquitectura, confirmar que el docente acepta que el servidor dedicado sea virtualizado.</w:t>
            </w:r>
          </w:p>
        </w:tc>
      </w:tr>
    </w:tbl>
    <w:p>
      <w:pPr>
        <w:spacing w:after="0"/>
      </w:pPr>
    </w:p>
    <w:p>
      <w:pPr>
        <w:pStyle w:val="Heading2"/>
      </w:pPr>
      <w:r>
        <w:t>3.1 Datos de red especificados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Parámetro</w:t>
            </w:r>
          </w:p>
        </w:tc>
        <w:tc>
          <w:tcPr>
            <w:tcW w:type="dxa" w:w="3312"/>
            <w:vAlign w:val="center"/>
            <w:shd w:fill="17365D"/>
          </w:tcPr>
          <w:p>
            <w:pPr>
              <w:spacing w:after="20"/>
            </w:pPr>
            <w:r/>
            <w:r>
              <w:rPr>
                <w:rFonts w:ascii="Aptos" w:hAnsi="Aptos"/>
                <w:b/>
                <w:color w:val="FFFFFF"/>
                <w:sz w:val="18"/>
              </w:rPr>
              <w:t>Valor</w:t>
            </w:r>
          </w:p>
        </w:tc>
        <w:tc>
          <w:tcPr>
            <w:tcW w:type="dxa" w:w="3312"/>
            <w:vAlign w:val="center"/>
            <w:shd w:fill="17365D"/>
          </w:tcPr>
          <w:p>
            <w:pPr>
              <w:spacing w:after="20"/>
            </w:pPr>
            <w:r/>
            <w:r>
              <w:rPr>
                <w:rFonts w:ascii="Aptos" w:hAnsi="Aptos"/>
                <w:b/>
                <w:color w:val="FFFFFF"/>
                <w:sz w:val="18"/>
              </w:rPr>
              <w:t>Clasificación</w:t>
            </w:r>
          </w:p>
        </w:tc>
      </w:tr>
      <w:tr>
        <w:tc>
          <w:tcPr>
            <w:tcW w:type="dxa" w:w="3312"/>
            <w:vAlign w:val="center"/>
          </w:tcPr>
          <w:p>
            <w:pPr>
              <w:spacing w:after="20"/>
            </w:pPr>
            <w:r/>
            <w:r>
              <w:rPr>
                <w:rFonts w:ascii="Aptos" w:hAnsi="Aptos"/>
                <w:b w:val="0"/>
                <w:sz w:val="18"/>
              </w:rPr>
              <w:t>Nombre del servidor</w:t>
            </w:r>
          </w:p>
        </w:tc>
        <w:tc>
          <w:tcPr>
            <w:tcW w:type="dxa" w:w="3312"/>
            <w:vAlign w:val="center"/>
          </w:tcPr>
          <w:p>
            <w:pPr>
              <w:spacing w:after="20"/>
            </w:pPr>
            <w:r/>
            <w:r>
              <w:rPr>
                <w:rFonts w:ascii="Aptos" w:hAnsi="Aptos"/>
                <w:b w:val="0"/>
                <w:sz w:val="18"/>
              </w:rPr>
              <w:t>SRV-PRJFINAL</w:t>
            </w:r>
          </w:p>
        </w:tc>
        <w:tc>
          <w:tcPr>
            <w:tcW w:type="dxa" w:w="3312"/>
            <w:vAlign w:val="center"/>
          </w:tcPr>
          <w:p>
            <w:pPr>
              <w:spacing w:after="20"/>
            </w:pPr>
            <w:r/>
            <w:r>
              <w:rPr>
                <w:rFonts w:ascii="Aptos" w:hAnsi="Aptos"/>
                <w:b w:val="0"/>
                <w:sz w:val="18"/>
              </w:rPr>
              <w:t>Requisito del docente</w:t>
            </w:r>
          </w:p>
        </w:tc>
      </w:tr>
      <w:tr>
        <w:tc>
          <w:tcPr>
            <w:tcW w:type="dxa" w:w="3312"/>
            <w:vAlign w:val="center"/>
          </w:tcPr>
          <w:p>
            <w:pPr>
              <w:spacing w:after="20"/>
            </w:pPr>
            <w:r/>
            <w:r>
              <w:rPr>
                <w:rFonts w:ascii="Aptos" w:hAnsi="Aptos"/>
                <w:b w:val="0"/>
                <w:sz w:val="18"/>
              </w:rPr>
              <w:t>Dirección IPv4</w:t>
            </w:r>
          </w:p>
        </w:tc>
        <w:tc>
          <w:tcPr>
            <w:tcW w:type="dxa" w:w="3312"/>
            <w:vAlign w:val="center"/>
          </w:tcPr>
          <w:p>
            <w:pPr>
              <w:spacing w:after="20"/>
            </w:pPr>
            <w:r/>
            <w:r>
              <w:rPr>
                <w:rFonts w:ascii="Aptos" w:hAnsi="Aptos"/>
                <w:b w:val="0"/>
                <w:sz w:val="18"/>
              </w:rPr>
              <w:t>172.16.0.100</w:t>
            </w:r>
          </w:p>
        </w:tc>
        <w:tc>
          <w:tcPr>
            <w:tcW w:type="dxa" w:w="3312"/>
            <w:vAlign w:val="center"/>
          </w:tcPr>
          <w:p>
            <w:pPr>
              <w:spacing w:after="20"/>
            </w:pPr>
            <w:r/>
            <w:r>
              <w:rPr>
                <w:rFonts w:ascii="Aptos" w:hAnsi="Aptos"/>
                <w:b w:val="0"/>
                <w:sz w:val="18"/>
              </w:rPr>
              <w:t>Requisito del docente</w:t>
            </w:r>
          </w:p>
        </w:tc>
      </w:tr>
      <w:tr>
        <w:tc>
          <w:tcPr>
            <w:tcW w:type="dxa" w:w="3312"/>
            <w:vAlign w:val="center"/>
          </w:tcPr>
          <w:p>
            <w:pPr>
              <w:spacing w:after="20"/>
            </w:pPr>
            <w:r/>
            <w:r>
              <w:rPr>
                <w:rFonts w:ascii="Aptos" w:hAnsi="Aptos"/>
                <w:b w:val="0"/>
                <w:sz w:val="18"/>
              </w:rPr>
              <w:t>Prefijo</w:t>
            </w:r>
          </w:p>
        </w:tc>
        <w:tc>
          <w:tcPr>
            <w:tcW w:type="dxa" w:w="3312"/>
            <w:vAlign w:val="center"/>
          </w:tcPr>
          <w:p>
            <w:pPr>
              <w:spacing w:after="20"/>
            </w:pPr>
            <w:r/>
            <w:r>
              <w:rPr>
                <w:rFonts w:ascii="Aptos" w:hAnsi="Aptos"/>
                <w:b w:val="0"/>
                <w:sz w:val="18"/>
              </w:rPr>
              <w:t>/16</w:t>
            </w:r>
          </w:p>
        </w:tc>
        <w:tc>
          <w:tcPr>
            <w:tcW w:type="dxa" w:w="3312"/>
            <w:vAlign w:val="center"/>
          </w:tcPr>
          <w:p>
            <w:pPr>
              <w:spacing w:after="20"/>
            </w:pPr>
            <w:r/>
            <w:r>
              <w:rPr>
                <w:rFonts w:ascii="Aptos" w:hAnsi="Aptos"/>
                <w:b w:val="0"/>
                <w:sz w:val="18"/>
              </w:rPr>
              <w:t>Requisito del docente</w:t>
            </w:r>
          </w:p>
        </w:tc>
      </w:tr>
      <w:tr>
        <w:tc>
          <w:tcPr>
            <w:tcW w:type="dxa" w:w="3312"/>
            <w:vAlign w:val="center"/>
          </w:tcPr>
          <w:p>
            <w:pPr>
              <w:spacing w:after="20"/>
            </w:pPr>
            <w:r/>
            <w:r>
              <w:rPr>
                <w:rFonts w:ascii="Aptos" w:hAnsi="Aptos"/>
                <w:b w:val="0"/>
                <w:sz w:val="18"/>
              </w:rPr>
              <w:t>Máscara</w:t>
            </w:r>
          </w:p>
        </w:tc>
        <w:tc>
          <w:tcPr>
            <w:tcW w:type="dxa" w:w="3312"/>
            <w:vAlign w:val="center"/>
          </w:tcPr>
          <w:p>
            <w:pPr>
              <w:spacing w:after="20"/>
            </w:pPr>
            <w:r/>
            <w:r>
              <w:rPr>
                <w:rFonts w:ascii="Aptos" w:hAnsi="Aptos"/>
                <w:b w:val="0"/>
                <w:sz w:val="18"/>
              </w:rPr>
              <w:t>255.255.0.0</w:t>
            </w:r>
          </w:p>
        </w:tc>
        <w:tc>
          <w:tcPr>
            <w:tcW w:type="dxa" w:w="3312"/>
            <w:vAlign w:val="center"/>
          </w:tcPr>
          <w:p>
            <w:pPr>
              <w:spacing w:after="20"/>
            </w:pPr>
            <w:r/>
            <w:r>
              <w:rPr>
                <w:rFonts w:ascii="Aptos" w:hAnsi="Aptos"/>
                <w:b w:val="0"/>
                <w:sz w:val="18"/>
              </w:rPr>
              <w:t>Requisito del docente</w:t>
            </w:r>
          </w:p>
        </w:tc>
      </w:tr>
      <w:tr>
        <w:tc>
          <w:tcPr>
            <w:tcW w:type="dxa" w:w="3312"/>
            <w:vAlign w:val="center"/>
          </w:tcPr>
          <w:p>
            <w:pPr>
              <w:spacing w:after="20"/>
            </w:pPr>
            <w:r/>
            <w:r>
              <w:rPr>
                <w:rFonts w:ascii="Aptos" w:hAnsi="Aptos"/>
                <w:b w:val="0"/>
                <w:sz w:val="18"/>
              </w:rPr>
              <w:t>Puerto SQL Server</w:t>
            </w:r>
          </w:p>
        </w:tc>
        <w:tc>
          <w:tcPr>
            <w:tcW w:type="dxa" w:w="3312"/>
            <w:vAlign w:val="center"/>
          </w:tcPr>
          <w:p>
            <w:pPr>
              <w:spacing w:after="20"/>
            </w:pPr>
            <w:r/>
            <w:r>
              <w:rPr>
                <w:rFonts w:ascii="Aptos" w:hAnsi="Aptos"/>
                <w:b w:val="0"/>
                <w:sz w:val="18"/>
              </w:rPr>
              <w:t>Por confirmar en la instalación; 1433 es el puerto habitual</w:t>
            </w:r>
          </w:p>
        </w:tc>
        <w:tc>
          <w:tcPr>
            <w:tcW w:type="dxa" w:w="3312"/>
            <w:vAlign w:val="center"/>
          </w:tcPr>
          <w:p>
            <w:pPr>
              <w:spacing w:after="20"/>
            </w:pPr>
            <w:r/>
            <w:r>
              <w:rPr>
                <w:rFonts w:ascii="Aptos" w:hAnsi="Aptos"/>
                <w:b w:val="0"/>
                <w:sz w:val="18"/>
              </w:rPr>
              <w:t>Decisión por validar</w:t>
            </w:r>
          </w:p>
        </w:tc>
      </w:tr>
      <w:tr>
        <w:tc>
          <w:tcPr>
            <w:tcW w:type="dxa" w:w="3312"/>
            <w:vAlign w:val="center"/>
          </w:tcPr>
          <w:p>
            <w:pPr>
              <w:spacing w:after="20"/>
            </w:pPr>
            <w:r/>
            <w:r>
              <w:rPr>
                <w:rFonts w:ascii="Aptos" w:hAnsi="Aptos"/>
                <w:b w:val="0"/>
                <w:sz w:val="18"/>
              </w:rPr>
              <w:t>Nombre de base de datos</w:t>
            </w:r>
          </w:p>
        </w:tc>
        <w:tc>
          <w:tcPr>
            <w:tcW w:type="dxa" w:w="3312"/>
            <w:vAlign w:val="center"/>
          </w:tcPr>
          <w:p>
            <w:pPr>
              <w:spacing w:after="20"/>
            </w:pPr>
            <w:r/>
            <w:r>
              <w:rPr>
                <w:rFonts w:ascii="Aptos" w:hAnsi="Aptos"/>
                <w:b w:val="0"/>
                <w:sz w:val="18"/>
              </w:rPr>
              <w:t>PadronDB (propuesta)</w:t>
            </w:r>
          </w:p>
        </w:tc>
        <w:tc>
          <w:tcPr>
            <w:tcW w:type="dxa" w:w="3312"/>
            <w:vAlign w:val="center"/>
          </w:tcPr>
          <w:p>
            <w:pPr>
              <w:spacing w:after="20"/>
            </w:pPr>
            <w:r/>
            <w:r>
              <w:rPr>
                <w:rFonts w:ascii="Aptos" w:hAnsi="Aptos"/>
                <w:b w:val="0"/>
                <w:sz w:val="18"/>
              </w:rPr>
              <w:t>Propuesta del equipo</w:t>
            </w:r>
          </w:p>
        </w:tc>
      </w:tr>
    </w:tbl>
    <w:p>
      <w:r>
        <w:t>La dirección IP identifica al servidor en la red, pero por sí sola no garantiza conectividad. La computadora anfitriona y la máquina virtual deberán estar en redes compatibles, sin conflictos de direcciones, y el firewall deberá permitir únicamente el tráfico necesario. No cambiar la IP del router ni de la computadora anfitriona sin necesidad. La configuración exacta de adaptadores de VirtualBox se documentará después de comprobar la red disponible.</w:t>
      </w:r>
    </w:p>
    <w:p>
      <w:pPr>
        <w:pStyle w:val="Heading1"/>
      </w:pPr>
      <w:r>
        <w:t>4. Tecnología propuesta para reducir complejidad</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Área</w:t>
            </w:r>
          </w:p>
        </w:tc>
        <w:tc>
          <w:tcPr>
            <w:tcW w:type="dxa" w:w="3312"/>
            <w:vAlign w:val="center"/>
            <w:shd w:fill="17365D"/>
          </w:tcPr>
          <w:p>
            <w:pPr>
              <w:spacing w:after="20"/>
            </w:pPr>
            <w:r/>
            <w:r>
              <w:rPr>
                <w:rFonts w:ascii="Aptos" w:hAnsi="Aptos"/>
                <w:b/>
                <w:color w:val="FFFFFF"/>
                <w:sz w:val="18"/>
              </w:rPr>
              <w:t>Propuesta inicial</w:t>
            </w:r>
          </w:p>
        </w:tc>
        <w:tc>
          <w:tcPr>
            <w:tcW w:type="dxa" w:w="3312"/>
            <w:vAlign w:val="center"/>
            <w:shd w:fill="17365D"/>
          </w:tcPr>
          <w:p>
            <w:pPr>
              <w:spacing w:after="20"/>
            </w:pPr>
            <w:r/>
            <w:r>
              <w:rPr>
                <w:rFonts w:ascii="Aptos" w:hAnsi="Aptos"/>
                <w:b/>
                <w:color w:val="FFFFFF"/>
                <w:sz w:val="18"/>
              </w:rPr>
              <w:t>Motivo / estado</w:t>
            </w:r>
          </w:p>
        </w:tc>
      </w:tr>
      <w:tr>
        <w:tc>
          <w:tcPr>
            <w:tcW w:type="dxa" w:w="3312"/>
            <w:vAlign w:val="center"/>
          </w:tcPr>
          <w:p>
            <w:pPr>
              <w:spacing w:after="20"/>
            </w:pPr>
            <w:r/>
            <w:r>
              <w:rPr>
                <w:rFonts w:ascii="Aptos" w:hAnsi="Aptos"/>
                <w:b w:val="0"/>
                <w:sz w:val="18"/>
              </w:rPr>
              <w:t>Sistema del servidor</w:t>
            </w:r>
          </w:p>
        </w:tc>
        <w:tc>
          <w:tcPr>
            <w:tcW w:type="dxa" w:w="3312"/>
            <w:vAlign w:val="center"/>
          </w:tcPr>
          <w:p>
            <w:pPr>
              <w:spacing w:after="20"/>
            </w:pPr>
            <w:r/>
            <w:r>
              <w:rPr>
                <w:rFonts w:ascii="Aptos" w:hAnsi="Aptos"/>
                <w:b w:val="0"/>
                <w:sz w:val="18"/>
              </w:rPr>
              <w:t>Windows Server</w:t>
            </w:r>
          </w:p>
        </w:tc>
        <w:tc>
          <w:tcPr>
            <w:tcW w:type="dxa" w:w="3312"/>
            <w:vAlign w:val="center"/>
          </w:tcPr>
          <w:p>
            <w:pPr>
              <w:spacing w:after="20"/>
            </w:pPr>
            <w:r/>
            <w:r>
              <w:rPr>
                <w:rFonts w:ascii="Aptos" w:hAnsi="Aptos"/>
                <w:b w:val="0"/>
                <w:sz w:val="18"/>
              </w:rPr>
              <w:t>Requerido por el documento.</w:t>
            </w:r>
          </w:p>
        </w:tc>
      </w:tr>
      <w:tr>
        <w:tc>
          <w:tcPr>
            <w:tcW w:type="dxa" w:w="3312"/>
            <w:vAlign w:val="center"/>
          </w:tcPr>
          <w:p>
            <w:pPr>
              <w:spacing w:after="20"/>
            </w:pPr>
            <w:r/>
            <w:r>
              <w:rPr>
                <w:rFonts w:ascii="Aptos" w:hAnsi="Aptos"/>
                <w:b w:val="0"/>
                <w:sz w:val="18"/>
              </w:rPr>
              <w:t>Base de datos</w:t>
            </w:r>
          </w:p>
        </w:tc>
        <w:tc>
          <w:tcPr>
            <w:tcW w:type="dxa" w:w="3312"/>
            <w:vAlign w:val="center"/>
          </w:tcPr>
          <w:p>
            <w:pPr>
              <w:spacing w:after="20"/>
            </w:pPr>
            <w:r/>
            <w:r>
              <w:rPr>
                <w:rFonts w:ascii="Aptos" w:hAnsi="Aptos"/>
                <w:b w:val="0"/>
                <w:sz w:val="18"/>
              </w:rPr>
              <w:t>Microsoft SQL Server</w:t>
            </w:r>
          </w:p>
        </w:tc>
        <w:tc>
          <w:tcPr>
            <w:tcW w:type="dxa" w:w="3312"/>
            <w:vAlign w:val="center"/>
          </w:tcPr>
          <w:p>
            <w:pPr>
              <w:spacing w:after="20"/>
            </w:pPr>
            <w:r/>
            <w:r>
              <w:rPr>
                <w:rFonts w:ascii="Aptos" w:hAnsi="Aptos"/>
                <w:b w:val="0"/>
                <w:sz w:val="18"/>
              </w:rPr>
              <w:t>Requerido por el documento.</w:t>
            </w:r>
          </w:p>
        </w:tc>
      </w:tr>
      <w:tr>
        <w:tc>
          <w:tcPr>
            <w:tcW w:type="dxa" w:w="3312"/>
            <w:vAlign w:val="center"/>
          </w:tcPr>
          <w:p>
            <w:pPr>
              <w:spacing w:after="20"/>
            </w:pPr>
            <w:r/>
            <w:r>
              <w:rPr>
                <w:rFonts w:ascii="Aptos" w:hAnsi="Aptos"/>
                <w:b w:val="0"/>
                <w:sz w:val="18"/>
              </w:rPr>
              <w:t>Interfaz</w:t>
            </w:r>
          </w:p>
        </w:tc>
        <w:tc>
          <w:tcPr>
            <w:tcW w:type="dxa" w:w="3312"/>
            <w:vAlign w:val="center"/>
          </w:tcPr>
          <w:p>
            <w:pPr>
              <w:spacing w:after="20"/>
            </w:pPr>
            <w:r/>
            <w:r>
              <w:rPr>
                <w:rFonts w:ascii="Aptos" w:hAnsi="Aptos"/>
                <w:b w:val="0"/>
                <w:sz w:val="18"/>
              </w:rPr>
              <w:t>Aplicación de escritorio C# Windows Forms</w:t>
            </w:r>
          </w:p>
        </w:tc>
        <w:tc>
          <w:tcPr>
            <w:tcW w:type="dxa" w:w="3312"/>
            <w:vAlign w:val="center"/>
          </w:tcPr>
          <w:p>
            <w:pPr>
              <w:spacing w:after="20"/>
            </w:pPr>
            <w:r/>
            <w:r>
              <w:rPr>
                <w:rFonts w:ascii="Aptos" w:hAnsi="Aptos"/>
                <w:b w:val="0"/>
                <w:sz w:val="18"/>
              </w:rPr>
              <w:t>Propuesta sencilla para Windows; la tecnología queda a criterio del grupo.</w:t>
            </w:r>
          </w:p>
        </w:tc>
      </w:tr>
      <w:tr>
        <w:tc>
          <w:tcPr>
            <w:tcW w:type="dxa" w:w="3312"/>
            <w:vAlign w:val="center"/>
          </w:tcPr>
          <w:p>
            <w:pPr>
              <w:spacing w:after="20"/>
            </w:pPr>
            <w:r/>
            <w:r>
              <w:rPr>
                <w:rFonts w:ascii="Aptos" w:hAnsi="Aptos"/>
                <w:b w:val="0"/>
                <w:sz w:val="18"/>
              </w:rPr>
              <w:t>Conexión</w:t>
            </w:r>
          </w:p>
        </w:tc>
        <w:tc>
          <w:tcPr>
            <w:tcW w:type="dxa" w:w="3312"/>
            <w:vAlign w:val="center"/>
          </w:tcPr>
          <w:p>
            <w:pPr>
              <w:spacing w:after="20"/>
            </w:pPr>
            <w:r/>
            <w:r>
              <w:rPr>
                <w:rFonts w:ascii="Aptos" w:hAnsi="Aptos"/>
                <w:b w:val="0"/>
                <w:sz w:val="18"/>
              </w:rPr>
              <w:t>Proveedor oficial de SQL Server para .NET y cuenta de permisos limitados</w:t>
            </w:r>
          </w:p>
        </w:tc>
        <w:tc>
          <w:tcPr>
            <w:tcW w:type="dxa" w:w="3312"/>
            <w:vAlign w:val="center"/>
          </w:tcPr>
          <w:p>
            <w:pPr>
              <w:spacing w:after="20"/>
            </w:pPr>
            <w:r/>
            <w:r>
              <w:rPr>
                <w:rFonts w:ascii="Aptos" w:hAnsi="Aptos"/>
                <w:b w:val="0"/>
                <w:sz w:val="18"/>
              </w:rPr>
              <w:t>Implementación propuesta; credenciales fuera del repositorio.</w:t>
            </w:r>
          </w:p>
        </w:tc>
      </w:tr>
      <w:tr>
        <w:tc>
          <w:tcPr>
            <w:tcW w:type="dxa" w:w="3312"/>
            <w:vAlign w:val="center"/>
          </w:tcPr>
          <w:p>
            <w:pPr>
              <w:spacing w:after="20"/>
            </w:pPr>
            <w:r/>
            <w:r>
              <w:rPr>
                <w:rFonts w:ascii="Aptos" w:hAnsi="Aptos"/>
                <w:b w:val="0"/>
                <w:sz w:val="18"/>
              </w:rPr>
              <w:t>Versiones y herramientas</w:t>
            </w:r>
          </w:p>
        </w:tc>
        <w:tc>
          <w:tcPr>
            <w:tcW w:type="dxa" w:w="3312"/>
            <w:vAlign w:val="center"/>
          </w:tcPr>
          <w:p>
            <w:pPr>
              <w:spacing w:after="20"/>
            </w:pPr>
            <w:r/>
            <w:r>
              <w:rPr>
                <w:rFonts w:ascii="Aptos" w:hAnsi="Aptos"/>
                <w:b w:val="0"/>
                <w:sz w:val="18"/>
              </w:rPr>
              <w:t>Elegir después de revisar requisitos del instalador y recursos del equipo</w:t>
            </w:r>
          </w:p>
        </w:tc>
        <w:tc>
          <w:tcPr>
            <w:tcW w:type="dxa" w:w="3312"/>
            <w:vAlign w:val="center"/>
          </w:tcPr>
          <w:p>
            <w:pPr>
              <w:spacing w:after="20"/>
            </w:pPr>
            <w:r/>
            <w:r>
              <w:rPr>
                <w:rFonts w:ascii="Aptos" w:hAnsi="Aptos"/>
                <w:b w:val="0"/>
                <w:sz w:val="18"/>
              </w:rPr>
              <w:t>No instalar versiones al azar.</w:t>
            </w:r>
          </w:p>
        </w:tc>
      </w:tr>
    </w:tbl>
    <w:tbl>
      <w:tblPr>
        <w:tblW w:type="auto" w:w="0"/>
        <w:jc w:val="center"/>
        <w:tblLook w:firstColumn="1" w:firstRow="1" w:lastColumn="0" w:lastRow="0" w:noHBand="0" w:noVBand="1" w:val="04A0"/>
      </w:tblPr>
      <w:tblGrid>
        <w:gridCol w:w="9936"/>
      </w:tblGrid>
      <w:tr>
        <w:tc>
          <w:tcPr>
            <w:tcW w:type="dxa" w:w="9936"/>
            <w:shd w:fill="EAF1F8"/>
          </w:tcPr>
          <w:p>
            <w:pPr>
              <w:spacing w:after="60"/>
            </w:pPr>
            <w:r>
              <w:rPr>
                <w:b/>
                <w:color w:val="17365D"/>
              </w:rPr>
              <w:t xml:space="preserve">Criterio de selección. </w:t>
            </w:r>
            <w:r>
              <w:t>La aplicación de escritorio C# Windows Forms es una recomendación para minimizar componentes adicionales. No es una exigencia del docente. Si el grupo ya domina otra tecnología, puede usarla siempre que se conecte correctamente al servidor SRV-PRJFINAL y cumpla los requisitos.</w:t>
            </w:r>
          </w:p>
        </w:tc>
      </w:tr>
    </w:tbl>
    <w:p>
      <w:pPr>
        <w:spacing w:after="0"/>
      </w:pPr>
    </w:p>
    <w:p>
      <w:pPr>
        <w:pStyle w:val="Heading1"/>
      </w:pPr>
      <w:r>
        <w:t>5. Reglas de negocio que deberán comprobarse</w:t>
      </w:r>
    </w:p>
    <w:tbl>
      <w:tblPr>
        <w:tblStyle w:val="TableGrid"/>
        <w:tblW w:type="auto" w:w="0"/>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Regla</w:t>
            </w:r>
          </w:p>
        </w:tc>
        <w:tc>
          <w:tcPr>
            <w:tcW w:type="dxa" w:w="4968"/>
            <w:vAlign w:val="center"/>
            <w:shd w:fill="17365D"/>
          </w:tcPr>
          <w:p>
            <w:pPr>
              <w:spacing w:after="20"/>
            </w:pPr>
            <w:r/>
            <w:r>
              <w:rPr>
                <w:rFonts w:ascii="Aptos" w:hAnsi="Aptos"/>
                <w:b/>
                <w:color w:val="FFFFFF"/>
                <w:sz w:val="18"/>
              </w:rPr>
              <w:t>Implementación esperada</w:t>
            </w:r>
          </w:p>
        </w:tc>
      </w:tr>
      <w:tr>
        <w:tc>
          <w:tcPr>
            <w:tcW w:type="dxa" w:w="4968"/>
            <w:vAlign w:val="center"/>
          </w:tcPr>
          <w:p>
            <w:pPr>
              <w:spacing w:after="20"/>
            </w:pPr>
            <w:r/>
            <w:r>
              <w:rPr>
                <w:rFonts w:ascii="Aptos" w:hAnsi="Aptos"/>
                <w:b/>
                <w:sz w:val="18"/>
              </w:rPr>
              <w:t>RN-1. Número de empadronamiento</w:t>
            </w:r>
          </w:p>
        </w:tc>
        <w:tc>
          <w:tcPr>
            <w:tcW w:type="dxa" w:w="4968"/>
            <w:vAlign w:val="center"/>
          </w:tcPr>
          <w:p>
            <w:pPr>
              <w:spacing w:after="20"/>
            </w:pPr>
            <w:r/>
            <w:r>
              <w:rPr>
                <w:rFonts w:ascii="Aptos" w:hAnsi="Aptos"/>
                <w:b w:val="0"/>
                <w:sz w:val="18"/>
              </w:rPr>
              <w:t>Generado automáticamente, aleatorio, alfanumérico, de 10 caracteres, único y no editable. Debe manejarse cualquier colisión.</w:t>
            </w:r>
          </w:p>
        </w:tc>
      </w:tr>
      <w:tr>
        <w:tc>
          <w:tcPr>
            <w:tcW w:type="dxa" w:w="4968"/>
            <w:vAlign w:val="center"/>
          </w:tcPr>
          <w:p>
            <w:pPr>
              <w:spacing w:after="20"/>
            </w:pPr>
            <w:r/>
            <w:r>
              <w:rPr>
                <w:rFonts w:ascii="Aptos" w:hAnsi="Aptos"/>
                <w:b/>
                <w:sz w:val="18"/>
              </w:rPr>
              <w:t>RN-2. CUI/DPI</w:t>
            </w:r>
          </w:p>
        </w:tc>
        <w:tc>
          <w:tcPr>
            <w:tcW w:type="dxa" w:w="4968"/>
            <w:vAlign w:val="center"/>
          </w:tcPr>
          <w:p>
            <w:pPr>
              <w:spacing w:after="20"/>
            </w:pPr>
            <w:r/>
            <w:r>
              <w:rPr>
                <w:rFonts w:ascii="Aptos" w:hAnsi="Aptos"/>
                <w:b w:val="0"/>
                <w:sz w:val="18"/>
              </w:rPr>
              <w:t>Exactamente 13 caracteres; comprobar que sean dígitos y que no se repita.</w:t>
            </w:r>
          </w:p>
        </w:tc>
      </w:tr>
      <w:tr>
        <w:tc>
          <w:tcPr>
            <w:tcW w:type="dxa" w:w="4968"/>
            <w:vAlign w:val="center"/>
          </w:tcPr>
          <w:p>
            <w:pPr>
              <w:spacing w:after="20"/>
            </w:pPr>
            <w:r/>
            <w:r>
              <w:rPr>
                <w:rFonts w:ascii="Aptos" w:hAnsi="Aptos"/>
                <w:b/>
                <w:sz w:val="18"/>
              </w:rPr>
              <w:t>RN-3. Edad</w:t>
            </w:r>
          </w:p>
        </w:tc>
        <w:tc>
          <w:tcPr>
            <w:tcW w:type="dxa" w:w="4968"/>
            <w:vAlign w:val="center"/>
          </w:tcPr>
          <w:p>
            <w:pPr>
              <w:spacing w:after="20"/>
            </w:pPr>
            <w:r/>
            <w:r>
              <w:rPr>
                <w:rFonts w:ascii="Aptos" w:hAnsi="Aptos"/>
                <w:b w:val="0"/>
                <w:sz w:val="18"/>
              </w:rPr>
              <w:t>La persona debe tener 18 años cumplidos al 01/01/2027. El documento aclara que se use una fecha de corte fija; la fecha de nacimiento debe ser 01/01/2009 o anterior.</w:t>
            </w:r>
          </w:p>
        </w:tc>
      </w:tr>
      <w:tr>
        <w:tc>
          <w:tcPr>
            <w:tcW w:type="dxa" w:w="4968"/>
            <w:vAlign w:val="center"/>
          </w:tcPr>
          <w:p>
            <w:pPr>
              <w:spacing w:after="20"/>
            </w:pPr>
            <w:r/>
            <w:r>
              <w:rPr>
                <w:rFonts w:ascii="Aptos" w:hAnsi="Aptos"/>
                <w:b/>
                <w:sz w:val="18"/>
              </w:rPr>
              <w:t>RN-4. Género</w:t>
            </w:r>
          </w:p>
        </w:tc>
        <w:tc>
          <w:tcPr>
            <w:tcW w:type="dxa" w:w="4968"/>
            <w:vAlign w:val="center"/>
          </w:tcPr>
          <w:p>
            <w:pPr>
              <w:spacing w:after="20"/>
            </w:pPr>
            <w:r/>
            <w:r>
              <w:rPr>
                <w:rFonts w:ascii="Aptos" w:hAnsi="Aptos"/>
                <w:b w:val="0"/>
                <w:sz w:val="18"/>
              </w:rPr>
              <w:t>Solo MASCULINO o FEMENINO.</w:t>
            </w:r>
          </w:p>
        </w:tc>
      </w:tr>
      <w:tr>
        <w:tc>
          <w:tcPr>
            <w:tcW w:type="dxa" w:w="4968"/>
            <w:vAlign w:val="center"/>
          </w:tcPr>
          <w:p>
            <w:pPr>
              <w:spacing w:after="20"/>
            </w:pPr>
            <w:r/>
            <w:r>
              <w:rPr>
                <w:rFonts w:ascii="Aptos" w:hAnsi="Aptos"/>
                <w:b/>
                <w:sz w:val="18"/>
              </w:rPr>
              <w:t>RN-5. Ubicación</w:t>
            </w:r>
          </w:p>
        </w:tc>
        <w:tc>
          <w:tcPr>
            <w:tcW w:type="dxa" w:w="4968"/>
            <w:vAlign w:val="center"/>
          </w:tcPr>
          <w:p>
            <w:pPr>
              <w:spacing w:after="20"/>
            </w:pPr>
            <w:r/>
            <w:r>
              <w:rPr>
                <w:rFonts w:ascii="Aptos" w:hAnsi="Aptos"/>
                <w:b w:val="0"/>
                <w:sz w:val="18"/>
              </w:rPr>
              <w:t>El departamento permitido es JUTIAPA. Los municipios deben elegirse de un catálogo con los municipios indicados por el docente.</w:t>
            </w:r>
          </w:p>
        </w:tc>
      </w:tr>
      <w:tr>
        <w:tc>
          <w:tcPr>
            <w:tcW w:type="dxa" w:w="4968"/>
            <w:vAlign w:val="center"/>
          </w:tcPr>
          <w:p>
            <w:pPr>
              <w:spacing w:after="20"/>
            </w:pPr>
            <w:r/>
            <w:r>
              <w:rPr>
                <w:rFonts w:ascii="Aptos" w:hAnsi="Aptos"/>
                <w:b/>
                <w:sz w:val="18"/>
              </w:rPr>
              <w:t>RN-6. Mayúsculas</w:t>
            </w:r>
          </w:p>
        </w:tc>
        <w:tc>
          <w:tcPr>
            <w:tcW w:type="dxa" w:w="4968"/>
            <w:vAlign w:val="center"/>
          </w:tcPr>
          <w:p>
            <w:pPr>
              <w:spacing w:after="20"/>
            </w:pPr>
            <w:r/>
            <w:r>
              <w:rPr>
                <w:rFonts w:ascii="Aptos" w:hAnsi="Aptos"/>
                <w:b w:val="0"/>
                <w:sz w:val="18"/>
              </w:rPr>
              <w:t>La información textual se almacenará en MAYÚSCULAS independientemente de cómo la escriba el usuario.</w:t>
            </w:r>
          </w:p>
        </w:tc>
      </w:tr>
      <w:tr>
        <w:tc>
          <w:tcPr>
            <w:tcW w:type="dxa" w:w="4968"/>
            <w:vAlign w:val="center"/>
          </w:tcPr>
          <w:p>
            <w:pPr>
              <w:spacing w:after="20"/>
            </w:pPr>
            <w:r/>
            <w:r>
              <w:rPr>
                <w:rFonts w:ascii="Aptos" w:hAnsi="Aptos"/>
                <w:b/>
                <w:sz w:val="18"/>
              </w:rPr>
              <w:t>Otras validaciones</w:t>
            </w:r>
          </w:p>
        </w:tc>
        <w:tc>
          <w:tcPr>
            <w:tcW w:type="dxa" w:w="4968"/>
            <w:vAlign w:val="center"/>
          </w:tcPr>
          <w:p>
            <w:pPr>
              <w:spacing w:after="20"/>
            </w:pPr>
            <w:r/>
            <w:r>
              <w:rPr>
                <w:rFonts w:ascii="Aptos" w:hAnsi="Aptos"/>
                <w:b w:val="0"/>
                <w:sz w:val="18"/>
              </w:rPr>
              <w:t>Fecha de emisión del DPI válida y no posterior al registro; lee y escribe: SI/NO; vidente: SI/NO; dirección geoelectoral: SI/NO; afiliación: catálogo indicado; estado: ACTIVO por omisión.</w:t>
            </w:r>
          </w:p>
        </w:tc>
      </w:tr>
    </w:tbl>
    <w:p>
      <w:r>
        <w:t>El documento del docente enumera los municipios de Jutiapa que deben incluirse: Jutiapa, El Progreso, Santa Catarina Mita, Agua Blanca, Asunción Mita, Yupiltepeque, Atescatempa, Jerez, El Adelanto, Zapotitlán, Comapa, Jalpatagua, Conguaco, Moyuta, Pasaco, San José Acatempa y Quesada. Se utilizará un catálogo para evitar escribir libremente nombres de municipios en cada registro.</w:t>
      </w:r>
    </w:p>
    <w:p>
      <w:pPr>
        <w:pStyle w:val="Heading1"/>
      </w:pPr>
      <w:r>
        <w:t>6. Plan de ejecución por fases</w:t>
      </w:r>
    </w:p>
    <w:p>
      <w:pPr>
        <w:pStyle w:val="Heading2"/>
      </w:pPr>
      <w:r>
        <w:t>Fase 1. Preparación y control de versiones</w:t>
      </w:r>
    </w:p>
    <w:p>
      <w:pPr>
        <w:pStyle w:val="ListBullet"/>
        <w:spacing w:after="40"/>
      </w:pPr>
      <w:r>
        <w:t>Verificar el repositorio privado Proyecto-BD1-Padron y su copia local.</w:t>
      </w:r>
    </w:p>
    <w:p>
      <w:pPr>
        <w:pStyle w:val="ListBullet"/>
        <w:spacing w:after="40"/>
      </w:pPr>
      <w:r>
        <w:t>Mantener README y .gitignore; no subir contraseñas, datos personales reales, archivos .env ni discos de máquinas virtuales.</w:t>
      </w:r>
    </w:p>
    <w:p>
      <w:pPr>
        <w:pStyle w:val="ListBullet"/>
        <w:spacing w:after="40"/>
      </w:pPr>
      <w:r>
        <w:t>Registrar cambios con commits descriptivos y sincronizar con GitHub.</w:t>
      </w:r>
    </w:p>
    <w:p>
      <w:pPr>
        <w:pStyle w:val="Heading2"/>
      </w:pPr>
      <w:r>
        <w:t>Fase 2. Requisitos y análisis</w:t>
      </w:r>
    </w:p>
    <w:p>
      <w:pPr>
        <w:pStyle w:val="ListBullet"/>
        <w:spacing w:after="40"/>
      </w:pPr>
      <w:r>
        <w:t>Convertir cada requisito del documento del docente en una lista verificable.</w:t>
      </w:r>
    </w:p>
    <w:p>
      <w:pPr>
        <w:pStyle w:val="ListBullet"/>
        <w:spacing w:after="40"/>
      </w:pPr>
      <w:r>
        <w:t>Definir alcance, actores, entradas, salidas, reglas, supuestos y exclusiones.</w:t>
      </w:r>
    </w:p>
    <w:p>
      <w:pPr>
        <w:pStyle w:val="ListBullet"/>
        <w:spacing w:after="40"/>
      </w:pPr>
      <w:r>
        <w:t>Preparar el documento formal de análisis y registrar decisiones técnicas con su justificación.</w:t>
      </w:r>
    </w:p>
    <w:p>
      <w:pPr>
        <w:pStyle w:val="Heading2"/>
      </w:pPr>
      <w:r>
        <w:t>Fase 3. Modelo de datos</w:t>
      </w:r>
    </w:p>
    <w:p>
      <w:pPr>
        <w:pStyle w:val="ListBullet"/>
        <w:spacing w:after="40"/>
      </w:pPr>
      <w:r>
        <w:t>Identificar entidades, atributos, claves primarias y foráneas y cardinalidades.</w:t>
      </w:r>
    </w:p>
    <w:p>
      <w:pPr>
        <w:pStyle w:val="ListBullet"/>
        <w:spacing w:after="40"/>
      </w:pPr>
      <w:r>
        <w:t>Normalizar hasta 3FN y explicar 1FN, 2FN y 3FN.</w:t>
      </w:r>
    </w:p>
    <w:p>
      <w:pPr>
        <w:pStyle w:val="ListBullet"/>
        <w:spacing w:after="40"/>
      </w:pPr>
      <w:r>
        <w:t>Preparar diagrama entidad-relación y diccionario de datos.</w:t>
      </w:r>
    </w:p>
    <w:p>
      <w:pPr>
        <w:pStyle w:val="ListBullet"/>
        <w:spacing w:after="40"/>
      </w:pPr>
      <w:r>
        <w:t>Diseñar catálogos para género, municipios, afiliación, estado y lugares de votación cuando corresponda.</w:t>
      </w:r>
    </w:p>
    <w:p>
      <w:pPr>
        <w:pStyle w:val="Heading2"/>
      </w:pPr>
      <w:r>
        <w:t>Fase 4. Servidor y red</w:t>
      </w:r>
    </w:p>
    <w:p>
      <w:pPr>
        <w:pStyle w:val="ListBullet"/>
        <w:spacing w:after="40"/>
      </w:pPr>
      <w:r>
        <w:t>Confirmar la edición y versión de Windows Server y los recursos necesarios.</w:t>
      </w:r>
    </w:p>
    <w:p>
      <w:pPr>
        <w:pStyle w:val="ListBullet"/>
        <w:spacing w:after="40"/>
      </w:pPr>
      <w:r>
        <w:t>Crear la máquina virtual si el docente acepta virtualización.</w:t>
      </w:r>
    </w:p>
    <w:p>
      <w:pPr>
        <w:pStyle w:val="ListBullet"/>
        <w:spacing w:after="40"/>
      </w:pPr>
      <w:r>
        <w:t>Configurar nombre SRV-PRJFINAL, IP 172.16.0.100/16 y máscara 255.255.0.0.</w:t>
      </w:r>
    </w:p>
    <w:p>
      <w:pPr>
        <w:pStyle w:val="ListBullet"/>
        <w:spacing w:after="40"/>
      </w:pPr>
      <w:r>
        <w:t>Documentar almacenamiento, memoria, seguridad, firewall, puertos, autenticación e intercalación.</w:t>
      </w:r>
    </w:p>
    <w:p>
      <w:pPr>
        <w:pStyle w:val="ListBullet"/>
        <w:spacing w:after="40"/>
      </w:pPr>
      <w:r>
        <w:t>Probar desde Windows 11 la conectividad con el servidor sin desactivar el firewall.</w:t>
      </w:r>
    </w:p>
    <w:p>
      <w:pPr>
        <w:pStyle w:val="Heading2"/>
      </w:pPr>
      <w:r>
        <w:t>Fase 5. Instalación y configuración de SQL Server</w:t>
      </w:r>
    </w:p>
    <w:p>
      <w:pPr>
        <w:pStyle w:val="ListBullet"/>
        <w:spacing w:after="40"/>
      </w:pPr>
      <w:r>
        <w:t>Instalar SQL Server y documentar la instancia resultante.</w:t>
      </w:r>
    </w:p>
    <w:p>
      <w:pPr>
        <w:pStyle w:val="ListBullet"/>
        <w:spacing w:after="40"/>
      </w:pPr>
      <w:r>
        <w:t>Configurar autenticación mixta, cuentas y política de contraseñas.</w:t>
      </w:r>
    </w:p>
    <w:p>
      <w:pPr>
        <w:pStyle w:val="ListBullet"/>
        <w:spacing w:after="40"/>
      </w:pPr>
      <w:r>
        <w:t>Configurar archivos de datos y log, crecimiento en MB, límites de memoria, intercalación, fill factor, tempdb y recuperación según recursos y justificación.</w:t>
      </w:r>
    </w:p>
    <w:p>
      <w:pPr>
        <w:pStyle w:val="ListBullet"/>
        <w:spacing w:after="40"/>
      </w:pPr>
      <w:r>
        <w:t>Guardar capturas de configuración.</w:t>
      </w:r>
    </w:p>
    <w:p>
      <w:pPr>
        <w:pStyle w:val="Heading2"/>
      </w:pPr>
      <w:r>
        <w:t>Fase 6. Construcción de la base de datos</w:t>
      </w:r>
    </w:p>
    <w:p>
      <w:pPr>
        <w:pStyle w:val="ListBullet"/>
        <w:spacing w:after="40"/>
      </w:pPr>
      <w:r>
        <w:t>Crear el script DDL reproducible para la base de datos, tablas, claves, restricciones y catálogos.</w:t>
      </w:r>
    </w:p>
    <w:p>
      <w:pPr>
        <w:pStyle w:val="ListBullet"/>
        <w:spacing w:after="40"/>
      </w:pPr>
      <w:r>
        <w:t>Implementar las reglas de negocio en SQL Server con CHECK, UNIQUE, claves foráneas, valores por omisión, funciones, procedimientos y/o disparadores cuando corresponda.</w:t>
      </w:r>
    </w:p>
    <w:p>
      <w:pPr>
        <w:pStyle w:val="ListBullet"/>
        <w:spacing w:after="40"/>
      </w:pPr>
      <w:r>
        <w:t>Ejecutar el script desde una base limpia y confirmar que termina sin errores.</w:t>
      </w:r>
    </w:p>
    <w:p>
      <w:pPr>
        <w:pStyle w:val="ListBullet"/>
        <w:spacing w:after="40"/>
      </w:pPr>
      <w:r>
        <w:t>Guardar los scripts en 03_Scripts_SQL y versionarlos en Git.</w:t>
      </w:r>
    </w:p>
    <w:p>
      <w:pPr>
        <w:pStyle w:val="Heading2"/>
      </w:pPr>
      <w:r>
        <w:t>Fase 7. Aplicación</w:t>
      </w:r>
    </w:p>
    <w:p>
      <w:pPr>
        <w:pStyle w:val="ListBullet"/>
        <w:spacing w:after="40"/>
      </w:pPr>
      <w:r>
        <w:t>Implementar el módulo de registro.</w:t>
      </w:r>
    </w:p>
    <w:p>
      <w:pPr>
        <w:pStyle w:val="ListBullet"/>
        <w:spacing w:after="40"/>
      </w:pPr>
      <w:r>
        <w:t>Implementar el módulo de consulta por número de empadronamiento o CUI/DPI.</w:t>
      </w:r>
    </w:p>
    <w:p>
      <w:pPr>
        <w:pStyle w:val="ListBullet"/>
        <w:spacing w:after="40"/>
      </w:pPr>
      <w:r>
        <w:t>Incluir fecha de nacimiento y código de verificación en la consulta.</w:t>
      </w:r>
    </w:p>
    <w:p>
      <w:pPr>
        <w:pStyle w:val="ListBullet"/>
        <w:spacing w:after="40"/>
      </w:pPr>
      <w:r>
        <w:t>Conectar a SQL Server usando parámetros y una cuenta de permisos limitados.</w:t>
      </w:r>
    </w:p>
    <w:p>
      <w:pPr>
        <w:pStyle w:val="ListBullet"/>
        <w:spacing w:after="40"/>
      </w:pPr>
      <w:r>
        <w:t>No incluir contraseñas en el código fuente ni en GitHub.</w:t>
      </w:r>
    </w:p>
    <w:p>
      <w:pPr>
        <w:pStyle w:val="Heading2"/>
      </w:pPr>
      <w:r>
        <w:t>Fase 8. Pruebas integrales</w:t>
      </w:r>
    </w:p>
    <w:p>
      <w:pPr>
        <w:pStyle w:val="ListBullet"/>
        <w:spacing w:after="40"/>
      </w:pPr>
      <w:r>
        <w:t>Probar registros válidos y cada validación inválida.</w:t>
      </w:r>
    </w:p>
    <w:p>
      <w:pPr>
        <w:pStyle w:val="ListBullet"/>
        <w:spacing w:after="40"/>
      </w:pPr>
      <w:r>
        <w:t>Probar unicidad del CUI y del número de empadronamiento.</w:t>
      </w:r>
    </w:p>
    <w:p>
      <w:pPr>
        <w:pStyle w:val="ListBullet"/>
        <w:spacing w:after="40"/>
      </w:pPr>
      <w:r>
        <w:t>Probar la fecha de corte de edad, catálogos y conversión a mayúsculas.</w:t>
      </w:r>
    </w:p>
    <w:p>
      <w:pPr>
        <w:pStyle w:val="ListBullet"/>
        <w:spacing w:after="40"/>
      </w:pPr>
      <w:r>
        <w:t>Probar consultas válidas, sin coincidencia y con código de verificación incorrecto.</w:t>
      </w:r>
    </w:p>
    <w:p>
      <w:pPr>
        <w:pStyle w:val="ListBullet"/>
        <w:spacing w:after="40"/>
      </w:pPr>
      <w:r>
        <w:t>Probar el acceso desde la aplicación en Windows 11 al servidor virtual.</w:t>
      </w:r>
    </w:p>
    <w:p>
      <w:pPr>
        <w:pStyle w:val="Heading2"/>
      </w:pPr>
      <w:r>
        <w:t>Fase 9. Respaldo y restauración</w:t>
      </w:r>
    </w:p>
    <w:p>
      <w:pPr>
        <w:pStyle w:val="ListBullet"/>
        <w:spacing w:after="40"/>
      </w:pPr>
      <w:r>
        <w:t>Crear al menos un respaldo de la base de datos.</w:t>
      </w:r>
    </w:p>
    <w:p>
      <w:pPr>
        <w:pStyle w:val="ListBullet"/>
        <w:spacing w:after="40"/>
      </w:pPr>
      <w:r>
        <w:t>Restaurarlo en una ubicación o base de prueba.</w:t>
      </w:r>
    </w:p>
    <w:p>
      <w:pPr>
        <w:pStyle w:val="ListBullet"/>
        <w:spacing w:after="40"/>
      </w:pPr>
      <w:r>
        <w:t>Comprobar que la restauración funciona y documentar los pasos y resultados.</w:t>
      </w:r>
    </w:p>
    <w:p>
      <w:pPr>
        <w:pStyle w:val="Heading2"/>
      </w:pPr>
      <w:r>
        <w:t>Fase 10. Documentación, evidencias y entrega</w:t>
      </w:r>
    </w:p>
    <w:p>
      <w:pPr>
        <w:pStyle w:val="ListBullet"/>
        <w:spacing w:after="40"/>
      </w:pPr>
      <w:r>
        <w:t>Completar el documento formal de análisis.</w:t>
      </w:r>
    </w:p>
    <w:p>
      <w:pPr>
        <w:pStyle w:val="ListBullet"/>
        <w:spacing w:after="40"/>
      </w:pPr>
      <w:r>
        <w:t>Preparar el manual técnico y el manual de usuario.</w:t>
      </w:r>
    </w:p>
    <w:p>
      <w:pPr>
        <w:pStyle w:val="ListBullet"/>
        <w:spacing w:after="40"/>
      </w:pPr>
      <w:r>
        <w:t>Ordenar capturas y evidencias por tema.</w:t>
      </w:r>
    </w:p>
    <w:p>
      <w:pPr>
        <w:pStyle w:val="ListBullet"/>
        <w:spacing w:after="40"/>
      </w:pPr>
      <w:r>
        <w:t>Realizar una demostración completa de registro, consulta, validaciones, conexión, respaldo y restauración.</w:t>
      </w:r>
    </w:p>
    <w:p>
      <w:pPr>
        <w:pStyle w:val="ListBullet"/>
        <w:spacing w:after="40"/>
      </w:pPr>
      <w:r>
        <w:t>Revisar que todos los entregables requeridos estén incluidos.</w:t>
      </w:r>
    </w:p>
    <w:p>
      <w:pPr>
        <w:pStyle w:val="Heading1"/>
      </w:pPr>
      <w:r>
        <w:t>7. Estructura del repositorio GitHub</w:t>
      </w:r>
    </w:p>
    <w:p>
      <w:r>
        <w:t>Repositorio: Proyecto-BD1-Padron. Visibilidad inicial: privada. No se añade una licencia pública salvo que el docente o el equipo acuerden otra cosa.</w:t>
      </w:r>
    </w:p>
    <w:tbl>
      <w:tblPr>
        <w:tblStyle w:val="TableGrid"/>
        <w:tblW w:type="auto" w:w="0"/>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Ruta</w:t>
            </w:r>
          </w:p>
        </w:tc>
        <w:tc>
          <w:tcPr>
            <w:tcW w:type="dxa" w:w="4968"/>
            <w:vAlign w:val="center"/>
            <w:shd w:fill="17365D"/>
          </w:tcPr>
          <w:p>
            <w:pPr>
              <w:spacing w:after="20"/>
            </w:pPr>
            <w:r/>
            <w:r>
              <w:rPr>
                <w:rFonts w:ascii="Aptos" w:hAnsi="Aptos"/>
                <w:b/>
                <w:color w:val="FFFFFF"/>
                <w:sz w:val="18"/>
              </w:rPr>
              <w:t>Contenido esperado</w:t>
            </w:r>
          </w:p>
        </w:tc>
      </w:tr>
      <w:tr>
        <w:tc>
          <w:tcPr>
            <w:tcW w:type="dxa" w:w="4968"/>
            <w:vAlign w:val="center"/>
          </w:tcPr>
          <w:p>
            <w:pPr>
              <w:spacing w:after="20"/>
            </w:pPr>
            <w:r/>
            <w:r>
              <w:rPr>
                <w:rFonts w:ascii="Aptos" w:hAnsi="Aptos"/>
                <w:b/>
                <w:sz w:val="18"/>
              </w:rPr>
              <w:t>README.md</w:t>
            </w:r>
          </w:p>
        </w:tc>
        <w:tc>
          <w:tcPr>
            <w:tcW w:type="dxa" w:w="4968"/>
            <w:vAlign w:val="center"/>
          </w:tcPr>
          <w:p>
            <w:pPr>
              <w:spacing w:after="20"/>
            </w:pPr>
            <w:r/>
            <w:r>
              <w:rPr>
                <w:rFonts w:ascii="Aptos" w:hAnsi="Aptos"/>
                <w:b w:val="0"/>
                <w:sz w:val="18"/>
              </w:rPr>
              <w:t>Resumen, alcance, tecnologías, requisitos, instrucciones de instalación y ejecución.</w:t>
            </w:r>
          </w:p>
        </w:tc>
      </w:tr>
      <w:tr>
        <w:tc>
          <w:tcPr>
            <w:tcW w:type="dxa" w:w="4968"/>
            <w:vAlign w:val="center"/>
          </w:tcPr>
          <w:p>
            <w:pPr>
              <w:spacing w:after="20"/>
            </w:pPr>
            <w:r/>
            <w:r>
              <w:rPr>
                <w:rFonts w:ascii="Aptos" w:hAnsi="Aptos"/>
                <w:b/>
                <w:sz w:val="18"/>
              </w:rPr>
              <w:t>01_Analisis/</w:t>
            </w:r>
          </w:p>
        </w:tc>
        <w:tc>
          <w:tcPr>
            <w:tcW w:type="dxa" w:w="4968"/>
            <w:vAlign w:val="center"/>
          </w:tcPr>
          <w:p>
            <w:pPr>
              <w:spacing w:after="20"/>
            </w:pPr>
            <w:r/>
            <w:r>
              <w:rPr>
                <w:rFonts w:ascii="Aptos" w:hAnsi="Aptos"/>
                <w:b w:val="0"/>
                <w:sz w:val="18"/>
              </w:rPr>
              <w:t>Análisis formal, requisitos, reglas de negocio, decisiones y alcance.</w:t>
            </w:r>
          </w:p>
        </w:tc>
      </w:tr>
      <w:tr>
        <w:tc>
          <w:tcPr>
            <w:tcW w:type="dxa" w:w="4968"/>
            <w:vAlign w:val="center"/>
          </w:tcPr>
          <w:p>
            <w:pPr>
              <w:spacing w:after="20"/>
            </w:pPr>
            <w:r/>
            <w:r>
              <w:rPr>
                <w:rFonts w:ascii="Aptos" w:hAnsi="Aptos"/>
                <w:b/>
                <w:sz w:val="18"/>
              </w:rPr>
              <w:t>02_Modelo_BD/</w:t>
            </w:r>
          </w:p>
        </w:tc>
        <w:tc>
          <w:tcPr>
            <w:tcW w:type="dxa" w:w="4968"/>
            <w:vAlign w:val="center"/>
          </w:tcPr>
          <w:p>
            <w:pPr>
              <w:spacing w:after="20"/>
            </w:pPr>
            <w:r/>
            <w:r>
              <w:rPr>
                <w:rFonts w:ascii="Aptos" w:hAnsi="Aptos"/>
                <w:b w:val="0"/>
                <w:sz w:val="18"/>
              </w:rPr>
              <w:t>Diagrama entidad-relación, normalización y diccionario de datos.</w:t>
            </w:r>
          </w:p>
        </w:tc>
      </w:tr>
      <w:tr>
        <w:tc>
          <w:tcPr>
            <w:tcW w:type="dxa" w:w="4968"/>
            <w:vAlign w:val="center"/>
          </w:tcPr>
          <w:p>
            <w:pPr>
              <w:spacing w:after="20"/>
            </w:pPr>
            <w:r/>
            <w:r>
              <w:rPr>
                <w:rFonts w:ascii="Aptos" w:hAnsi="Aptos"/>
                <w:b/>
                <w:sz w:val="18"/>
              </w:rPr>
              <w:t>03_Scripts_SQL/</w:t>
            </w:r>
          </w:p>
        </w:tc>
        <w:tc>
          <w:tcPr>
            <w:tcW w:type="dxa" w:w="4968"/>
            <w:vAlign w:val="center"/>
          </w:tcPr>
          <w:p>
            <w:pPr>
              <w:spacing w:after="20"/>
            </w:pPr>
            <w:r/>
            <w:r>
              <w:rPr>
                <w:rFonts w:ascii="Aptos" w:hAnsi="Aptos"/>
                <w:b w:val="0"/>
                <w:sz w:val="18"/>
              </w:rPr>
              <w:t>Scripts DDL, datos de prueba ficticios, procedimientos y consultas de verificación.</w:t>
            </w:r>
          </w:p>
        </w:tc>
      </w:tr>
      <w:tr>
        <w:tc>
          <w:tcPr>
            <w:tcW w:type="dxa" w:w="4968"/>
            <w:vAlign w:val="center"/>
          </w:tcPr>
          <w:p>
            <w:pPr>
              <w:spacing w:after="20"/>
            </w:pPr>
            <w:r/>
            <w:r>
              <w:rPr>
                <w:rFonts w:ascii="Aptos" w:hAnsi="Aptos"/>
                <w:b/>
                <w:sz w:val="18"/>
              </w:rPr>
              <w:t>04_Evidencias/</w:t>
            </w:r>
          </w:p>
        </w:tc>
        <w:tc>
          <w:tcPr>
            <w:tcW w:type="dxa" w:w="4968"/>
            <w:vAlign w:val="center"/>
          </w:tcPr>
          <w:p>
            <w:pPr>
              <w:spacing w:after="20"/>
            </w:pPr>
            <w:r/>
            <w:r>
              <w:rPr>
                <w:rFonts w:ascii="Aptos" w:hAnsi="Aptos"/>
                <w:b w:val="0"/>
                <w:sz w:val="18"/>
              </w:rPr>
              <w:t>Capturas seleccionadas de instalación, configuración, pruebas, conexión, respaldo y restauración.</w:t>
            </w:r>
          </w:p>
        </w:tc>
      </w:tr>
      <w:tr>
        <w:tc>
          <w:tcPr>
            <w:tcW w:type="dxa" w:w="4968"/>
            <w:vAlign w:val="center"/>
          </w:tcPr>
          <w:p>
            <w:pPr>
              <w:spacing w:after="20"/>
            </w:pPr>
            <w:r/>
            <w:r>
              <w:rPr>
                <w:rFonts w:ascii="Aptos" w:hAnsi="Aptos"/>
                <w:b/>
                <w:sz w:val="18"/>
              </w:rPr>
              <w:t>05_Manuales_y_Entrega/</w:t>
            </w:r>
          </w:p>
        </w:tc>
        <w:tc>
          <w:tcPr>
            <w:tcW w:type="dxa" w:w="4968"/>
            <w:vAlign w:val="center"/>
          </w:tcPr>
          <w:p>
            <w:pPr>
              <w:spacing w:after="20"/>
            </w:pPr>
            <w:r/>
            <w:r>
              <w:rPr>
                <w:rFonts w:ascii="Aptos" w:hAnsi="Aptos"/>
                <w:b w:val="0"/>
                <w:sz w:val="18"/>
              </w:rPr>
              <w:t>Manual técnico, manual de usuario y documentos finales.</w:t>
            </w:r>
          </w:p>
        </w:tc>
      </w:tr>
      <w:tr>
        <w:tc>
          <w:tcPr>
            <w:tcW w:type="dxa" w:w="4968"/>
            <w:vAlign w:val="center"/>
          </w:tcPr>
          <w:p>
            <w:pPr>
              <w:spacing w:after="20"/>
            </w:pPr>
            <w:r/>
            <w:r>
              <w:rPr>
                <w:rFonts w:ascii="Aptos" w:hAnsi="Aptos"/>
                <w:b/>
                <w:sz w:val="18"/>
              </w:rPr>
              <w:t>.gitignore</w:t>
            </w:r>
          </w:p>
        </w:tc>
        <w:tc>
          <w:tcPr>
            <w:tcW w:type="dxa" w:w="4968"/>
            <w:vAlign w:val="center"/>
          </w:tcPr>
          <w:p>
            <w:pPr>
              <w:spacing w:after="20"/>
            </w:pPr>
            <w:r/>
            <w:r>
              <w:rPr>
                <w:rFonts w:ascii="Aptos" w:hAnsi="Aptos"/>
                <w:b w:val="0"/>
                <w:sz w:val="18"/>
              </w:rPr>
              <w:t>Ignorar temporales, configuraciones locales, secretos, logs y discos de máquinas virtuales.</w:t>
            </w:r>
          </w:p>
        </w:tc>
      </w:tr>
    </w:tbl>
    <w:tbl>
      <w:tblPr>
        <w:tblW w:type="auto" w:w="0"/>
        <w:jc w:val="center"/>
        <w:tblLook w:firstColumn="1" w:firstRow="1" w:lastColumn="0" w:lastRow="0" w:noHBand="0" w:noVBand="1" w:val="04A0"/>
      </w:tblPr>
      <w:tblGrid>
        <w:gridCol w:w="9936"/>
      </w:tblGrid>
      <w:tr>
        <w:tc>
          <w:tcPr>
            <w:tcW w:type="dxa" w:w="9936"/>
            <w:shd w:fill="EAF1F8"/>
          </w:tcPr>
          <w:p>
            <w:pPr>
              <w:spacing w:after="60"/>
            </w:pPr>
            <w:r>
              <w:rPr>
                <w:b/>
                <w:color w:val="17365D"/>
              </w:rPr>
              <w:t xml:space="preserve">Seguridad del repositorio. </w:t>
            </w:r>
            <w:r>
              <w:t>Usar datos ficticios para pruebas. No subir información real de ciudadanos, contraseñas, tokens, archivos .env, respaldos con información sensible ni archivos .vdi/.vmdk/.vhd/.ova/.ovf.</w:t>
            </w:r>
          </w:p>
        </w:tc>
      </w:tr>
    </w:tbl>
    <w:p>
      <w:pPr>
        <w:spacing w:after="0"/>
      </w:pPr>
    </w:p>
    <w:p>
      <w:pPr>
        <w:pStyle w:val="Heading1"/>
      </w:pPr>
      <w:r>
        <w:t>8. Entregables finales y evidencia</w:t>
      </w:r>
    </w:p>
    <w:tbl>
      <w:tblPr>
        <w:tblStyle w:val="TableGrid"/>
        <w:tblW w:type="auto" w:w="0"/>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Entregable</w:t>
            </w:r>
          </w:p>
        </w:tc>
        <w:tc>
          <w:tcPr>
            <w:tcW w:type="dxa" w:w="4968"/>
            <w:vAlign w:val="center"/>
            <w:shd w:fill="17365D"/>
          </w:tcPr>
          <w:p>
            <w:pPr>
              <w:spacing w:after="20"/>
            </w:pPr>
            <w:r/>
            <w:r>
              <w:rPr>
                <w:rFonts w:ascii="Aptos" w:hAnsi="Aptos"/>
                <w:b/>
                <w:color w:val="FFFFFF"/>
                <w:sz w:val="18"/>
              </w:rPr>
              <w:t>Qué debe demostrar</w:t>
            </w:r>
          </w:p>
        </w:tc>
      </w:tr>
      <w:tr>
        <w:tc>
          <w:tcPr>
            <w:tcW w:type="dxa" w:w="4968"/>
            <w:vAlign w:val="center"/>
          </w:tcPr>
          <w:p>
            <w:pPr>
              <w:spacing w:after="20"/>
            </w:pPr>
            <w:r/>
            <w:r>
              <w:rPr>
                <w:rFonts w:ascii="Aptos" w:hAnsi="Aptos"/>
                <w:b/>
                <w:sz w:val="18"/>
              </w:rPr>
              <w:t>Servidor configurado</w:t>
            </w:r>
          </w:p>
        </w:tc>
        <w:tc>
          <w:tcPr>
            <w:tcW w:type="dxa" w:w="4968"/>
            <w:vAlign w:val="center"/>
          </w:tcPr>
          <w:p>
            <w:pPr>
              <w:spacing w:after="20"/>
            </w:pPr>
            <w:r/>
            <w:r>
              <w:rPr>
                <w:rFonts w:ascii="Aptos" w:hAnsi="Aptos"/>
                <w:b w:val="0"/>
                <w:sz w:val="18"/>
              </w:rPr>
              <w:t>Nombre, IP/máscara, red, firewall, puertos, almacenamiento, memoria, autenticación, intercalación y demás parámetros solicitados, con capturas y justificación.</w:t>
            </w:r>
          </w:p>
        </w:tc>
      </w:tr>
      <w:tr>
        <w:tc>
          <w:tcPr>
            <w:tcW w:type="dxa" w:w="4968"/>
            <w:vAlign w:val="center"/>
          </w:tcPr>
          <w:p>
            <w:pPr>
              <w:spacing w:after="20"/>
            </w:pPr>
            <w:r/>
            <w:r>
              <w:rPr>
                <w:rFonts w:ascii="Aptos" w:hAnsi="Aptos"/>
                <w:b/>
                <w:sz w:val="18"/>
              </w:rPr>
              <w:t>Modelo entidad-relación en 3FN</w:t>
            </w:r>
          </w:p>
        </w:tc>
        <w:tc>
          <w:tcPr>
            <w:tcW w:type="dxa" w:w="4968"/>
            <w:vAlign w:val="center"/>
          </w:tcPr>
          <w:p>
            <w:pPr>
              <w:spacing w:after="20"/>
            </w:pPr>
            <w:r/>
            <w:r>
              <w:rPr>
                <w:rFonts w:ascii="Aptos" w:hAnsi="Aptos"/>
                <w:b w:val="0"/>
                <w:sz w:val="18"/>
              </w:rPr>
              <w:t>Diagrama con entidades, atributos, PK, FK y cardinalidades; explicación de normalización.</w:t>
            </w:r>
          </w:p>
        </w:tc>
      </w:tr>
      <w:tr>
        <w:tc>
          <w:tcPr>
            <w:tcW w:type="dxa" w:w="4968"/>
            <w:vAlign w:val="center"/>
          </w:tcPr>
          <w:p>
            <w:pPr>
              <w:spacing w:after="20"/>
            </w:pPr>
            <w:r/>
            <w:r>
              <w:rPr>
                <w:rFonts w:ascii="Aptos" w:hAnsi="Aptos"/>
                <w:b/>
                <w:sz w:val="18"/>
              </w:rPr>
              <w:t>Diccionario de datos</w:t>
            </w:r>
          </w:p>
        </w:tc>
        <w:tc>
          <w:tcPr>
            <w:tcW w:type="dxa" w:w="4968"/>
            <w:vAlign w:val="center"/>
          </w:tcPr>
          <w:p>
            <w:pPr>
              <w:spacing w:after="20"/>
            </w:pPr>
            <w:r/>
            <w:r>
              <w:rPr>
                <w:rFonts w:ascii="Aptos" w:hAnsi="Aptos"/>
                <w:b w:val="0"/>
                <w:sz w:val="18"/>
              </w:rPr>
              <w:t>Tablas, columnas, tipos, longitudes, nulabilidad y descripción.</w:t>
            </w:r>
          </w:p>
        </w:tc>
      </w:tr>
      <w:tr>
        <w:tc>
          <w:tcPr>
            <w:tcW w:type="dxa" w:w="4968"/>
            <w:vAlign w:val="center"/>
          </w:tcPr>
          <w:p>
            <w:pPr>
              <w:spacing w:after="20"/>
            </w:pPr>
            <w:r/>
            <w:r>
              <w:rPr>
                <w:rFonts w:ascii="Aptos" w:hAnsi="Aptos"/>
                <w:b/>
                <w:sz w:val="18"/>
              </w:rPr>
              <w:t>Scripts SQL</w:t>
            </w:r>
          </w:p>
        </w:tc>
        <w:tc>
          <w:tcPr>
            <w:tcW w:type="dxa" w:w="4968"/>
            <w:vAlign w:val="center"/>
          </w:tcPr>
          <w:p>
            <w:pPr>
              <w:spacing w:after="20"/>
            </w:pPr>
            <w:r/>
            <w:r>
              <w:rPr>
                <w:rFonts w:ascii="Aptos" w:hAnsi="Aptos"/>
                <w:b w:val="0"/>
                <w:sz w:val="18"/>
              </w:rPr>
              <w:t>DDL reproducible, restricciones, catálogos, reglas de negocio y procedimientos o mecanismos implementados.</w:t>
            </w:r>
          </w:p>
        </w:tc>
      </w:tr>
      <w:tr>
        <w:tc>
          <w:tcPr>
            <w:tcW w:type="dxa" w:w="4968"/>
            <w:vAlign w:val="center"/>
          </w:tcPr>
          <w:p>
            <w:pPr>
              <w:spacing w:after="20"/>
            </w:pPr>
            <w:r/>
            <w:r>
              <w:rPr>
                <w:rFonts w:ascii="Aptos" w:hAnsi="Aptos"/>
                <w:b/>
                <w:sz w:val="18"/>
              </w:rPr>
              <w:t>Base de datos instalada</w:t>
            </w:r>
          </w:p>
        </w:tc>
        <w:tc>
          <w:tcPr>
            <w:tcW w:type="dxa" w:w="4968"/>
            <w:vAlign w:val="center"/>
          </w:tcPr>
          <w:p>
            <w:pPr>
              <w:spacing w:after="20"/>
            </w:pPr>
            <w:r/>
            <w:r>
              <w:rPr>
                <w:rFonts w:ascii="Aptos" w:hAnsi="Aptos"/>
                <w:b w:val="0"/>
                <w:sz w:val="18"/>
              </w:rPr>
              <w:t>Evidencia de ejecución sin errores y archivos de datos, logs y respaldos en ubicaciones documentadas.</w:t>
            </w:r>
          </w:p>
        </w:tc>
      </w:tr>
      <w:tr>
        <w:tc>
          <w:tcPr>
            <w:tcW w:type="dxa" w:w="4968"/>
            <w:vAlign w:val="center"/>
          </w:tcPr>
          <w:p>
            <w:pPr>
              <w:spacing w:after="20"/>
            </w:pPr>
            <w:r/>
            <w:r>
              <w:rPr>
                <w:rFonts w:ascii="Aptos" w:hAnsi="Aptos"/>
                <w:b/>
                <w:sz w:val="18"/>
              </w:rPr>
              <w:t>Aplicación en ejecución</w:t>
            </w:r>
          </w:p>
        </w:tc>
        <w:tc>
          <w:tcPr>
            <w:tcW w:type="dxa" w:w="4968"/>
            <w:vAlign w:val="center"/>
          </w:tcPr>
          <w:p>
            <w:pPr>
              <w:spacing w:after="20"/>
            </w:pPr>
            <w:r/>
            <w:r>
              <w:rPr>
                <w:rFonts w:ascii="Aptos" w:hAnsi="Aptos"/>
                <w:b w:val="0"/>
                <w:sz w:val="18"/>
              </w:rPr>
              <w:t>Módulo de registro y módulo de consulta conectados a SRV-PRJFINAL.</w:t>
            </w:r>
          </w:p>
        </w:tc>
      </w:tr>
      <w:tr>
        <w:tc>
          <w:tcPr>
            <w:tcW w:type="dxa" w:w="4968"/>
            <w:vAlign w:val="center"/>
          </w:tcPr>
          <w:p>
            <w:pPr>
              <w:spacing w:after="20"/>
            </w:pPr>
            <w:r/>
            <w:r>
              <w:rPr>
                <w:rFonts w:ascii="Aptos" w:hAnsi="Aptos"/>
                <w:b/>
                <w:sz w:val="18"/>
              </w:rPr>
              <w:t>Pruebas</w:t>
            </w:r>
          </w:p>
        </w:tc>
        <w:tc>
          <w:tcPr>
            <w:tcW w:type="dxa" w:w="4968"/>
            <w:vAlign w:val="center"/>
          </w:tcPr>
          <w:p>
            <w:pPr>
              <w:spacing w:after="20"/>
            </w:pPr>
            <w:r/>
            <w:r>
              <w:rPr>
                <w:rFonts w:ascii="Aptos" w:hAnsi="Aptos"/>
                <w:b w:val="0"/>
                <w:sz w:val="18"/>
              </w:rPr>
              <w:t>Casos válidos e inválidos, reglas de negocio, conexión y mensajes de respuesta.</w:t>
            </w:r>
          </w:p>
        </w:tc>
      </w:tr>
      <w:tr>
        <w:tc>
          <w:tcPr>
            <w:tcW w:type="dxa" w:w="4968"/>
            <w:vAlign w:val="center"/>
          </w:tcPr>
          <w:p>
            <w:pPr>
              <w:spacing w:after="20"/>
            </w:pPr>
            <w:r/>
            <w:r>
              <w:rPr>
                <w:rFonts w:ascii="Aptos" w:hAnsi="Aptos"/>
                <w:b/>
                <w:sz w:val="18"/>
              </w:rPr>
              <w:t>Respaldo y restauración</w:t>
            </w:r>
          </w:p>
        </w:tc>
        <w:tc>
          <w:tcPr>
            <w:tcW w:type="dxa" w:w="4968"/>
            <w:vAlign w:val="center"/>
          </w:tcPr>
          <w:p>
            <w:pPr>
              <w:spacing w:after="20"/>
            </w:pPr>
            <w:r/>
            <w:r>
              <w:rPr>
                <w:rFonts w:ascii="Aptos" w:hAnsi="Aptos"/>
                <w:b w:val="0"/>
                <w:sz w:val="18"/>
              </w:rPr>
              <w:t>Evidencia de un respaldo y una restauración de prueba exitosa.</w:t>
            </w:r>
          </w:p>
        </w:tc>
      </w:tr>
      <w:tr>
        <w:tc>
          <w:tcPr>
            <w:tcW w:type="dxa" w:w="4968"/>
            <w:vAlign w:val="center"/>
          </w:tcPr>
          <w:p>
            <w:pPr>
              <w:spacing w:after="20"/>
            </w:pPr>
            <w:r/>
            <w:r>
              <w:rPr>
                <w:rFonts w:ascii="Aptos" w:hAnsi="Aptos"/>
                <w:b/>
                <w:sz w:val="18"/>
              </w:rPr>
              <w:t>Documento formal de análisis</w:t>
            </w:r>
          </w:p>
        </w:tc>
        <w:tc>
          <w:tcPr>
            <w:tcW w:type="dxa" w:w="4968"/>
            <w:vAlign w:val="center"/>
          </w:tcPr>
          <w:p>
            <w:pPr>
              <w:spacing w:after="20"/>
            </w:pPr>
            <w:r/>
            <w:r>
              <w:rPr>
                <w:rFonts w:ascii="Aptos" w:hAnsi="Aptos"/>
                <w:b w:val="0"/>
                <w:sz w:val="18"/>
              </w:rPr>
              <w:t>Documento de análisis elaborado con una herramienta, estándar o marco seleccionado y justificado.</w:t>
            </w:r>
          </w:p>
        </w:tc>
      </w:tr>
      <w:tr>
        <w:tc>
          <w:tcPr>
            <w:tcW w:type="dxa" w:w="4968"/>
            <w:vAlign w:val="center"/>
          </w:tcPr>
          <w:p>
            <w:pPr>
              <w:spacing w:after="20"/>
            </w:pPr>
            <w:r/>
            <w:r>
              <w:rPr>
                <w:rFonts w:ascii="Aptos" w:hAnsi="Aptos"/>
                <w:b/>
                <w:sz w:val="18"/>
              </w:rPr>
              <w:t>Manual técnico</w:t>
            </w:r>
          </w:p>
        </w:tc>
        <w:tc>
          <w:tcPr>
            <w:tcW w:type="dxa" w:w="4968"/>
            <w:vAlign w:val="center"/>
          </w:tcPr>
          <w:p>
            <w:pPr>
              <w:spacing w:after="20"/>
            </w:pPr>
            <w:r/>
            <w:r>
              <w:rPr>
                <w:rFonts w:ascii="Aptos" w:hAnsi="Aptos"/>
                <w:b w:val="0"/>
                <w:sz w:val="18"/>
              </w:rPr>
              <w:t>Instalación, configuración, arquitectura, base de datos, conexión, despliegue, mantenimiento y respaldo/restauración.</w:t>
            </w:r>
          </w:p>
        </w:tc>
      </w:tr>
      <w:tr>
        <w:tc>
          <w:tcPr>
            <w:tcW w:type="dxa" w:w="4968"/>
            <w:vAlign w:val="center"/>
          </w:tcPr>
          <w:p>
            <w:pPr>
              <w:spacing w:after="20"/>
            </w:pPr>
            <w:r/>
            <w:r>
              <w:rPr>
                <w:rFonts w:ascii="Aptos" w:hAnsi="Aptos"/>
                <w:b/>
                <w:sz w:val="18"/>
              </w:rPr>
              <w:t>Manual de usuario</w:t>
            </w:r>
          </w:p>
        </w:tc>
        <w:tc>
          <w:tcPr>
            <w:tcW w:type="dxa" w:w="4968"/>
            <w:vAlign w:val="center"/>
          </w:tcPr>
          <w:p>
            <w:pPr>
              <w:spacing w:after="20"/>
            </w:pPr>
            <w:r/>
            <w:r>
              <w:rPr>
                <w:rFonts w:ascii="Aptos" w:hAnsi="Aptos"/>
                <w:b w:val="0"/>
                <w:sz w:val="18"/>
              </w:rPr>
              <w:t>Instrucciones claras para registrar y consultar, con capturas y mensajes esperados.</w:t>
            </w:r>
          </w:p>
        </w:tc>
      </w:tr>
    </w:tbl>
    <w:p>
      <w:pPr>
        <w:pStyle w:val="Heading1"/>
      </w:pPr>
      <w:r>
        <w:t>9. Estrategia de pruebas mínima</w:t>
      </w:r>
    </w:p>
    <w:tbl>
      <w:tblPr>
        <w:tblStyle w:val="TableGrid"/>
        <w:tblW w:type="auto" w:w="0"/>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Caso</w:t>
            </w:r>
          </w:p>
        </w:tc>
        <w:tc>
          <w:tcPr>
            <w:tcW w:type="dxa" w:w="4968"/>
            <w:vAlign w:val="center"/>
            <w:shd w:fill="17365D"/>
          </w:tcPr>
          <w:p>
            <w:pPr>
              <w:spacing w:after="20"/>
            </w:pPr>
            <w:r/>
            <w:r>
              <w:rPr>
                <w:rFonts w:ascii="Aptos" w:hAnsi="Aptos"/>
                <w:b/>
                <w:color w:val="FFFFFF"/>
                <w:sz w:val="18"/>
              </w:rPr>
              <w:t>Resultado esperado</w:t>
            </w:r>
          </w:p>
        </w:tc>
      </w:tr>
      <w:tr>
        <w:tc>
          <w:tcPr>
            <w:tcW w:type="dxa" w:w="4968"/>
            <w:vAlign w:val="center"/>
          </w:tcPr>
          <w:p>
            <w:pPr>
              <w:spacing w:after="20"/>
            </w:pPr>
            <w:r/>
            <w:r>
              <w:rPr>
                <w:rFonts w:ascii="Aptos" w:hAnsi="Aptos"/>
                <w:b/>
                <w:sz w:val="18"/>
              </w:rPr>
              <w:t>Registro válido</w:t>
            </w:r>
          </w:p>
        </w:tc>
        <w:tc>
          <w:tcPr>
            <w:tcW w:type="dxa" w:w="4968"/>
            <w:vAlign w:val="center"/>
          </w:tcPr>
          <w:p>
            <w:pPr>
              <w:spacing w:after="20"/>
            </w:pPr>
            <w:r/>
            <w:r>
              <w:rPr>
                <w:rFonts w:ascii="Aptos" w:hAnsi="Aptos"/>
                <w:b w:val="0"/>
                <w:sz w:val="18"/>
              </w:rPr>
              <w:t>Se crea el registro, se asigna número único y se muestra confirmación.</w:t>
            </w:r>
          </w:p>
        </w:tc>
      </w:tr>
      <w:tr>
        <w:tc>
          <w:tcPr>
            <w:tcW w:type="dxa" w:w="4968"/>
            <w:vAlign w:val="center"/>
          </w:tcPr>
          <w:p>
            <w:pPr>
              <w:spacing w:after="20"/>
            </w:pPr>
            <w:r/>
            <w:r>
              <w:rPr>
                <w:rFonts w:ascii="Aptos" w:hAnsi="Aptos"/>
                <w:b/>
                <w:sz w:val="18"/>
              </w:rPr>
              <w:t>CUI/DPI con longitud incorrecta</w:t>
            </w:r>
          </w:p>
        </w:tc>
        <w:tc>
          <w:tcPr>
            <w:tcW w:type="dxa" w:w="4968"/>
            <w:vAlign w:val="center"/>
          </w:tcPr>
          <w:p>
            <w:pPr>
              <w:spacing w:after="20"/>
            </w:pPr>
            <w:r/>
            <w:r>
              <w:rPr>
                <w:rFonts w:ascii="Aptos" w:hAnsi="Aptos"/>
                <w:b w:val="0"/>
                <w:sz w:val="18"/>
              </w:rPr>
              <w:t>El sistema rechaza el registro.</w:t>
            </w:r>
          </w:p>
        </w:tc>
      </w:tr>
      <w:tr>
        <w:tc>
          <w:tcPr>
            <w:tcW w:type="dxa" w:w="4968"/>
            <w:vAlign w:val="center"/>
          </w:tcPr>
          <w:p>
            <w:pPr>
              <w:spacing w:after="20"/>
            </w:pPr>
            <w:r/>
            <w:r>
              <w:rPr>
                <w:rFonts w:ascii="Aptos" w:hAnsi="Aptos"/>
                <w:b/>
                <w:sz w:val="18"/>
              </w:rPr>
              <w:t>CUI/DPI duplicado</w:t>
            </w:r>
          </w:p>
        </w:tc>
        <w:tc>
          <w:tcPr>
            <w:tcW w:type="dxa" w:w="4968"/>
            <w:vAlign w:val="center"/>
          </w:tcPr>
          <w:p>
            <w:pPr>
              <w:spacing w:after="20"/>
            </w:pPr>
            <w:r/>
            <w:r>
              <w:rPr>
                <w:rFonts w:ascii="Aptos" w:hAnsi="Aptos"/>
                <w:b w:val="0"/>
                <w:sz w:val="18"/>
              </w:rPr>
              <w:t>La base de datos impide duplicidad.</w:t>
            </w:r>
          </w:p>
        </w:tc>
      </w:tr>
      <w:tr>
        <w:tc>
          <w:tcPr>
            <w:tcW w:type="dxa" w:w="4968"/>
            <w:vAlign w:val="center"/>
          </w:tcPr>
          <w:p>
            <w:pPr>
              <w:spacing w:after="20"/>
            </w:pPr>
            <w:r/>
            <w:r>
              <w:rPr>
                <w:rFonts w:ascii="Aptos" w:hAnsi="Aptos"/>
                <w:b/>
                <w:sz w:val="18"/>
              </w:rPr>
              <w:t>Fecha de emisión posterior al registro</w:t>
            </w:r>
          </w:p>
        </w:tc>
        <w:tc>
          <w:tcPr>
            <w:tcW w:type="dxa" w:w="4968"/>
            <w:vAlign w:val="center"/>
          </w:tcPr>
          <w:p>
            <w:pPr>
              <w:spacing w:after="20"/>
            </w:pPr>
            <w:r/>
            <w:r>
              <w:rPr>
                <w:rFonts w:ascii="Aptos" w:hAnsi="Aptos"/>
                <w:b w:val="0"/>
                <w:sz w:val="18"/>
              </w:rPr>
              <w:t>El sistema rechaza el dato.</w:t>
            </w:r>
          </w:p>
        </w:tc>
      </w:tr>
      <w:tr>
        <w:tc>
          <w:tcPr>
            <w:tcW w:type="dxa" w:w="4968"/>
            <w:vAlign w:val="center"/>
          </w:tcPr>
          <w:p>
            <w:pPr>
              <w:spacing w:after="20"/>
            </w:pPr>
            <w:r/>
            <w:r>
              <w:rPr>
                <w:rFonts w:ascii="Aptos" w:hAnsi="Aptos"/>
                <w:b/>
                <w:sz w:val="18"/>
              </w:rPr>
              <w:t>Fecha de nacimiento fuera del criterio</w:t>
            </w:r>
          </w:p>
        </w:tc>
        <w:tc>
          <w:tcPr>
            <w:tcW w:type="dxa" w:w="4968"/>
            <w:vAlign w:val="center"/>
          </w:tcPr>
          <w:p>
            <w:pPr>
              <w:spacing w:after="20"/>
            </w:pPr>
            <w:r/>
            <w:r>
              <w:rPr>
                <w:rFonts w:ascii="Aptos" w:hAnsi="Aptos"/>
                <w:b w:val="0"/>
                <w:sz w:val="18"/>
              </w:rPr>
              <w:t>Se rechaza según la fecha fija 01/01/2027.</w:t>
            </w:r>
          </w:p>
        </w:tc>
      </w:tr>
      <w:tr>
        <w:tc>
          <w:tcPr>
            <w:tcW w:type="dxa" w:w="4968"/>
            <w:vAlign w:val="center"/>
          </w:tcPr>
          <w:p>
            <w:pPr>
              <w:spacing w:after="20"/>
            </w:pPr>
            <w:r/>
            <w:r>
              <w:rPr>
                <w:rFonts w:ascii="Aptos" w:hAnsi="Aptos"/>
                <w:b/>
                <w:sz w:val="18"/>
              </w:rPr>
              <w:t>Género o catálogo no permitido</w:t>
            </w:r>
          </w:p>
        </w:tc>
        <w:tc>
          <w:tcPr>
            <w:tcW w:type="dxa" w:w="4968"/>
            <w:vAlign w:val="center"/>
          </w:tcPr>
          <w:p>
            <w:pPr>
              <w:spacing w:after="20"/>
            </w:pPr>
            <w:r/>
            <w:r>
              <w:rPr>
                <w:rFonts w:ascii="Aptos" w:hAnsi="Aptos"/>
                <w:b w:val="0"/>
                <w:sz w:val="18"/>
              </w:rPr>
              <w:t>Se rechaza por catálogo o restricción.</w:t>
            </w:r>
          </w:p>
        </w:tc>
      </w:tr>
      <w:tr>
        <w:tc>
          <w:tcPr>
            <w:tcW w:type="dxa" w:w="4968"/>
            <w:vAlign w:val="center"/>
          </w:tcPr>
          <w:p>
            <w:pPr>
              <w:spacing w:after="20"/>
            </w:pPr>
            <w:r/>
            <w:r>
              <w:rPr>
                <w:rFonts w:ascii="Aptos" w:hAnsi="Aptos"/>
                <w:b/>
                <w:sz w:val="18"/>
              </w:rPr>
              <w:t>Texto en minúsculas</w:t>
            </w:r>
          </w:p>
        </w:tc>
        <w:tc>
          <w:tcPr>
            <w:tcW w:type="dxa" w:w="4968"/>
            <w:vAlign w:val="center"/>
          </w:tcPr>
          <w:p>
            <w:pPr>
              <w:spacing w:after="20"/>
            </w:pPr>
            <w:r/>
            <w:r>
              <w:rPr>
                <w:rFonts w:ascii="Aptos" w:hAnsi="Aptos"/>
                <w:b w:val="0"/>
                <w:sz w:val="18"/>
              </w:rPr>
              <w:t>La base almacena el texto en mayúsculas.</w:t>
            </w:r>
          </w:p>
        </w:tc>
      </w:tr>
      <w:tr>
        <w:tc>
          <w:tcPr>
            <w:tcW w:type="dxa" w:w="4968"/>
            <w:vAlign w:val="center"/>
          </w:tcPr>
          <w:p>
            <w:pPr>
              <w:spacing w:after="20"/>
            </w:pPr>
            <w:r/>
            <w:r>
              <w:rPr>
                <w:rFonts w:ascii="Aptos" w:hAnsi="Aptos"/>
                <w:b/>
                <w:sz w:val="18"/>
              </w:rPr>
              <w:t>Número de empadronamiento repetido</w:t>
            </w:r>
          </w:p>
        </w:tc>
        <w:tc>
          <w:tcPr>
            <w:tcW w:type="dxa" w:w="4968"/>
            <w:vAlign w:val="center"/>
          </w:tcPr>
          <w:p>
            <w:pPr>
              <w:spacing w:after="20"/>
            </w:pPr>
            <w:r/>
            <w:r>
              <w:rPr>
                <w:rFonts w:ascii="Aptos" w:hAnsi="Aptos"/>
                <w:b w:val="0"/>
                <w:sz w:val="18"/>
              </w:rPr>
              <w:t>La restricción de unicidad y el manejo de colisiones evitan duplicidad.</w:t>
            </w:r>
          </w:p>
        </w:tc>
      </w:tr>
      <w:tr>
        <w:tc>
          <w:tcPr>
            <w:tcW w:type="dxa" w:w="4968"/>
            <w:vAlign w:val="center"/>
          </w:tcPr>
          <w:p>
            <w:pPr>
              <w:spacing w:after="20"/>
            </w:pPr>
            <w:r/>
            <w:r>
              <w:rPr>
                <w:rFonts w:ascii="Aptos" w:hAnsi="Aptos"/>
                <w:b/>
                <w:sz w:val="18"/>
              </w:rPr>
              <w:t>Consulta correcta</w:t>
            </w:r>
          </w:p>
        </w:tc>
        <w:tc>
          <w:tcPr>
            <w:tcW w:type="dxa" w:w="4968"/>
            <w:vAlign w:val="center"/>
          </w:tcPr>
          <w:p>
            <w:pPr>
              <w:spacing w:after="20"/>
            </w:pPr>
            <w:r/>
            <w:r>
              <w:rPr>
                <w:rFonts w:ascii="Aptos" w:hAnsi="Aptos"/>
                <w:b w:val="0"/>
                <w:sz w:val="18"/>
              </w:rPr>
              <w:t>Se muestran las secciones de datos especificadas.</w:t>
            </w:r>
          </w:p>
        </w:tc>
      </w:tr>
      <w:tr>
        <w:tc>
          <w:tcPr>
            <w:tcW w:type="dxa" w:w="4968"/>
            <w:vAlign w:val="center"/>
          </w:tcPr>
          <w:p>
            <w:pPr>
              <w:spacing w:after="20"/>
            </w:pPr>
            <w:r/>
            <w:r>
              <w:rPr>
                <w:rFonts w:ascii="Aptos" w:hAnsi="Aptos"/>
                <w:b/>
                <w:sz w:val="18"/>
              </w:rPr>
              <w:t>Consulta sin coincidencia</w:t>
            </w:r>
          </w:p>
        </w:tc>
        <w:tc>
          <w:tcPr>
            <w:tcW w:type="dxa" w:w="4968"/>
            <w:vAlign w:val="center"/>
          </w:tcPr>
          <w:p>
            <w:pPr>
              <w:spacing w:after="20"/>
            </w:pPr>
            <w:r/>
            <w:r>
              <w:rPr>
                <w:rFonts w:ascii="Aptos" w:hAnsi="Aptos"/>
                <w:b w:val="0"/>
                <w:sz w:val="18"/>
              </w:rPr>
              <w:t>Se muestra mensaje genérico sin filtrar datos adicionales.</w:t>
            </w:r>
          </w:p>
        </w:tc>
      </w:tr>
      <w:tr>
        <w:tc>
          <w:tcPr>
            <w:tcW w:type="dxa" w:w="4968"/>
            <w:vAlign w:val="center"/>
          </w:tcPr>
          <w:p>
            <w:pPr>
              <w:spacing w:after="20"/>
            </w:pPr>
            <w:r/>
            <w:r>
              <w:rPr>
                <w:rFonts w:ascii="Aptos" w:hAnsi="Aptos"/>
                <w:b/>
                <w:sz w:val="18"/>
              </w:rPr>
              <w:t>Código de verificación incorrecto</w:t>
            </w:r>
          </w:p>
        </w:tc>
        <w:tc>
          <w:tcPr>
            <w:tcW w:type="dxa" w:w="4968"/>
            <w:vAlign w:val="center"/>
          </w:tcPr>
          <w:p>
            <w:pPr>
              <w:spacing w:after="20"/>
            </w:pPr>
            <w:r/>
            <w:r>
              <w:rPr>
                <w:rFonts w:ascii="Aptos" w:hAnsi="Aptos"/>
                <w:b w:val="0"/>
                <w:sz w:val="18"/>
              </w:rPr>
              <w:t>La consulta se rechaza con mensaje apropiado.</w:t>
            </w:r>
          </w:p>
        </w:tc>
      </w:tr>
      <w:tr>
        <w:tc>
          <w:tcPr>
            <w:tcW w:type="dxa" w:w="4968"/>
            <w:vAlign w:val="center"/>
          </w:tcPr>
          <w:p>
            <w:pPr>
              <w:spacing w:after="20"/>
            </w:pPr>
            <w:r/>
            <w:r>
              <w:rPr>
                <w:rFonts w:ascii="Aptos" w:hAnsi="Aptos"/>
                <w:b/>
                <w:sz w:val="18"/>
              </w:rPr>
              <w:t>Conexión no disponible</w:t>
            </w:r>
          </w:p>
        </w:tc>
        <w:tc>
          <w:tcPr>
            <w:tcW w:type="dxa" w:w="4968"/>
            <w:vAlign w:val="center"/>
          </w:tcPr>
          <w:p>
            <w:pPr>
              <w:spacing w:after="20"/>
            </w:pPr>
            <w:r/>
            <w:r>
              <w:rPr>
                <w:rFonts w:ascii="Aptos" w:hAnsi="Aptos"/>
                <w:b w:val="0"/>
                <w:sz w:val="18"/>
              </w:rPr>
              <w:t>La aplicación informa el error sin exponer credenciales.</w:t>
            </w:r>
          </w:p>
        </w:tc>
      </w:tr>
      <w:tr>
        <w:tc>
          <w:tcPr>
            <w:tcW w:type="dxa" w:w="4968"/>
            <w:vAlign w:val="center"/>
          </w:tcPr>
          <w:p>
            <w:pPr>
              <w:spacing w:after="20"/>
            </w:pPr>
            <w:r/>
            <w:r>
              <w:rPr>
                <w:rFonts w:ascii="Aptos" w:hAnsi="Aptos"/>
                <w:b/>
                <w:sz w:val="18"/>
              </w:rPr>
              <w:t>Restauración de respaldo</w:t>
            </w:r>
          </w:p>
        </w:tc>
        <w:tc>
          <w:tcPr>
            <w:tcW w:type="dxa" w:w="4968"/>
            <w:vAlign w:val="center"/>
          </w:tcPr>
          <w:p>
            <w:pPr>
              <w:spacing w:after="20"/>
            </w:pPr>
            <w:r/>
            <w:r>
              <w:rPr>
                <w:rFonts w:ascii="Aptos" w:hAnsi="Aptos"/>
                <w:b w:val="0"/>
                <w:sz w:val="18"/>
              </w:rPr>
              <w:t>La base restaurada puede consultarse y las pruebas de verificación pasan.</w:t>
            </w:r>
          </w:p>
        </w:tc>
      </w:tr>
    </w:tbl>
    <w:p>
      <w:pPr>
        <w:pStyle w:val="Heading1"/>
      </w:pPr>
      <w:r>
        <w:t>10. Evidencias que se deben guardar</w:t>
      </w:r>
    </w:p>
    <w:p>
      <w:pPr>
        <w:pStyle w:val="ListBullet"/>
        <w:spacing w:after="40"/>
      </w:pPr>
      <w:r>
        <w:t>Configuración de la máquina virtual y versión de Windows Server.</w:t>
      </w:r>
    </w:p>
    <w:p>
      <w:pPr>
        <w:pStyle w:val="ListBullet"/>
        <w:spacing w:after="40"/>
      </w:pPr>
      <w:r>
        <w:t>Nombre del servidor y configuración de IPv4, prefijo y máscara.</w:t>
      </w:r>
    </w:p>
    <w:p>
      <w:pPr>
        <w:pStyle w:val="ListBullet"/>
        <w:spacing w:after="40"/>
      </w:pPr>
      <w:r>
        <w:t>Configuración de red de VirtualBox y prueba de conectividad desde Windows 11.</w:t>
      </w:r>
    </w:p>
    <w:p>
      <w:pPr>
        <w:pStyle w:val="ListBullet"/>
        <w:spacing w:after="40"/>
      </w:pPr>
      <w:r>
        <w:t>Instalación de SQL Server, instancia, autenticación, firewall y puerto efectivo.</w:t>
      </w:r>
    </w:p>
    <w:p>
      <w:pPr>
        <w:pStyle w:val="ListBullet"/>
        <w:spacing w:after="40"/>
      </w:pPr>
      <w:r>
        <w:t>Parámetros de almacenamiento, crecimiento, memoria, collation y fill factor.</w:t>
      </w:r>
    </w:p>
    <w:p>
      <w:pPr>
        <w:pStyle w:val="ListBullet"/>
        <w:spacing w:after="40"/>
      </w:pPr>
      <w:r>
        <w:t>Diagrama entidad-relación y diccionario de datos.</w:t>
      </w:r>
    </w:p>
    <w:p>
      <w:pPr>
        <w:pStyle w:val="ListBullet"/>
        <w:spacing w:after="40"/>
      </w:pPr>
      <w:r>
        <w:t>Ejecución del script DDL y estructura de tablas, relaciones y restricciones.</w:t>
      </w:r>
    </w:p>
    <w:p>
      <w:pPr>
        <w:pStyle w:val="ListBullet"/>
        <w:spacing w:after="40"/>
      </w:pPr>
      <w:r>
        <w:t>Pruebas de registro y consulta, incluidos casos inválidos.</w:t>
      </w:r>
    </w:p>
    <w:p>
      <w:pPr>
        <w:pStyle w:val="ListBullet"/>
        <w:spacing w:after="40"/>
      </w:pPr>
      <w:r>
        <w:t>Conexión desde la aplicación al servidor, sin mostrar contraseñas.</w:t>
      </w:r>
    </w:p>
    <w:p>
      <w:pPr>
        <w:pStyle w:val="ListBullet"/>
        <w:spacing w:after="40"/>
      </w:pPr>
      <w:r>
        <w:t>Respaldo y restauración de prueba.</w:t>
      </w:r>
    </w:p>
    <w:p>
      <w:pPr>
        <w:pStyle w:val="Heading1"/>
      </w:pPr>
      <w:r>
        <w:t>11. Criterios de calidad para una entrega sólida</w:t>
      </w:r>
    </w:p>
    <w:p>
      <w:pPr>
        <w:pStyle w:val="ListBullet"/>
        <w:spacing w:after="40"/>
      </w:pPr>
      <w:r>
        <w:t>Cada requisito del documento del docente debe tener una implementación y una evidencia verificable.</w:t>
      </w:r>
    </w:p>
    <w:p>
      <w:pPr>
        <w:pStyle w:val="ListBullet"/>
        <w:spacing w:after="40"/>
      </w:pPr>
      <w:r>
        <w:t>Las reglas de integridad importantes deben protegerse en la base de datos, no depender exclusivamente de la interfaz.</w:t>
      </w:r>
    </w:p>
    <w:p>
      <w:pPr>
        <w:pStyle w:val="ListBullet"/>
        <w:spacing w:after="40"/>
      </w:pPr>
      <w:r>
        <w:t>El script SQL debe poder ejecutarse de forma ordenada y reproducible.</w:t>
      </w:r>
    </w:p>
    <w:p>
      <w:pPr>
        <w:pStyle w:val="ListBullet"/>
        <w:spacing w:after="40"/>
      </w:pPr>
      <w:r>
        <w:t>El modelo debe justificar la normalización hasta 3FN y evitar catálogos repetidos como texto libre.</w:t>
      </w:r>
    </w:p>
    <w:p>
      <w:pPr>
        <w:pStyle w:val="ListBullet"/>
        <w:spacing w:after="40"/>
      </w:pPr>
      <w:r>
        <w:t>La aplicación debe ser sencilla, clara y funcional; la interfaz no debe desplazar el esfuerzo del diseño de base de datos.</w:t>
      </w:r>
    </w:p>
    <w:p>
      <w:pPr>
        <w:pStyle w:val="ListBullet"/>
        <w:spacing w:after="40"/>
      </w:pPr>
      <w:r>
        <w:t>Las decisiones que el docente deja a criterio del grupo deben documentarse y justificarse.</w:t>
      </w:r>
    </w:p>
    <w:p>
      <w:pPr>
        <w:pStyle w:val="ListBullet"/>
        <w:spacing w:after="40"/>
      </w:pPr>
      <w:r>
        <w:t>No se debe afirmar que un requisito está cumplido hasta que se haya probado y exista evidencia.</w:t>
      </w:r>
    </w:p>
    <w:p>
      <w:pPr>
        <w:pStyle w:val="ListBullet"/>
        <w:spacing w:after="40"/>
      </w:pPr>
      <w:r>
        <w:t>La demostración final debe realizarse en el entorno que se usará durante la presentación.</w:t>
      </w:r>
    </w:p>
    <w:p>
      <w:pPr>
        <w:pStyle w:val="Heading1"/>
      </w:pPr>
      <w:r>
        <w:t>12. Orden inmediato de trabajo</w:t>
      </w:r>
    </w:p>
    <w:p>
      <w:pPr>
        <w:pStyle w:val="ListNumber"/>
        <w:spacing w:after="40"/>
      </w:pPr>
      <w:r>
        <w:t>Confirmar que el repositorio local y GitHub están sincronizados.</w:t>
      </w:r>
    </w:p>
    <w:p>
      <w:pPr>
        <w:pStyle w:val="ListNumber"/>
        <w:spacing w:after="40"/>
      </w:pPr>
      <w:r>
        <w:t>Completar README.md con el propósito y la estructura del proyecto.</w:t>
      </w:r>
    </w:p>
    <w:p>
      <w:pPr>
        <w:pStyle w:val="ListNumber"/>
        <w:spacing w:after="40"/>
      </w:pPr>
      <w:r>
        <w:t>Revisar los recursos de la laptop y confirmar qué instaladores de Windows Server y SQL Server están disponibles.</w:t>
      </w:r>
    </w:p>
    <w:p>
      <w:pPr>
        <w:pStyle w:val="ListNumber"/>
        <w:spacing w:after="40"/>
      </w:pPr>
      <w:r>
        <w:t>Confirmar con el docente que acepta un servidor Windows Server virtualizado en VirtualBox.</w:t>
      </w:r>
    </w:p>
    <w:p>
      <w:pPr>
        <w:pStyle w:val="ListNumber"/>
        <w:spacing w:after="40"/>
      </w:pPr>
      <w:r>
        <w:t>Preparar y documentar el análisis de requisitos antes de instalar y configurar el servidor.</w:t>
      </w:r>
    </w:p>
    <w:p>
      <w:pPr>
        <w:pStyle w:val="ListNumber"/>
        <w:spacing w:after="40"/>
      </w:pPr>
      <w:r>
        <w:t>Diseñar el modelo entidad-relación antes de crear las tablas.</w:t>
      </w:r>
    </w:p>
    <w:p>
      <w:pPr>
        <w:pStyle w:val="ListNumber"/>
        <w:spacing w:after="40"/>
      </w:pPr>
      <w:r>
        <w:t>Configurar servidor y red, instalar SQL Server y luego implementar el script DDL.</w:t>
      </w:r>
    </w:p>
    <w:p>
      <w:pPr>
        <w:pStyle w:val="ListNumber"/>
        <w:spacing w:after="40"/>
      </w:pPr>
      <w:r>
        <w:t>Desarrollar la aplicación cuando el modelo y los scripts principales estén definidos.</w:t>
      </w:r>
    </w:p>
    <w:p>
      <w:pPr>
        <w:pStyle w:val="ListNumber"/>
        <w:spacing w:after="40"/>
      </w:pPr>
      <w:r>
        <w:t>Probar, documentar, respaldar, restaurar y preparar la demostración final.</w:t>
      </w:r>
    </w:p>
    <w:p>
      <w:pPr>
        <w:pStyle w:val="Heading1"/>
      </w:pPr>
      <w:r>
        <w:t>13. Referencia y alcance de este plan</w:t>
      </w:r>
    </w:p>
    <w:p>
      <w:r>
        <w:t>Este plan se elaboró a partir del documento académico “Proyecto Final Base de Datos I”. Los requisitos del docente se distinguen de las decisiones propuestas por el equipo. Las opciones de lenguaje, interfaz y virtualización deben mantenerse como decisiones justificadas y, cuando corresponda, confirmarse con el docente. Este plan no sustituye el documento formal de análisis, el manual técnico ni el manual de usuario; estos serán entregables separados y se completarán con resultados reales, capturas y pruebas ejecutadas.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Plan de trabajo y arquitectura propuesta · Documento de planificación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PROYECTO FINAL · BASE DE DATOS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