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1D731" w14:textId="372B41F1" w:rsidR="00834EF8" w:rsidRPr="00FB5AD1" w:rsidRDefault="00FB5AD1" w:rsidP="00FB5AD1">
      <w:pPr>
        <w:pStyle w:val="Title"/>
        <w:jc w:val="center"/>
        <w:rPr>
          <w:rFonts w:ascii="Times New Roman" w:hAnsi="Times New Roman" w:cs="Times New Roman"/>
          <w:b/>
          <w:bCs/>
          <w:color w:val="5B9BD5" w:themeColor="accent1"/>
          <w:lang w:val="en-GB"/>
        </w:rPr>
      </w:pPr>
      <w:r w:rsidRPr="00FB5AD1">
        <w:rPr>
          <w:rFonts w:ascii="Times New Roman" w:hAnsi="Times New Roman" w:cs="Times New Roman"/>
          <w:b/>
          <w:bCs/>
          <w:color w:val="5B9BD5" w:themeColor="accent1"/>
          <w:lang w:val="en-GB"/>
        </w:rPr>
        <w:t>BUSINESS INSIGHTS</w:t>
      </w:r>
    </w:p>
    <w:p w14:paraId="7C049A38" w14:textId="77777777" w:rsidR="00FB5AD1" w:rsidRDefault="00FB5AD1" w:rsidP="00FB5AD1">
      <w:pPr>
        <w:rPr>
          <w:lang w:val="en-GB"/>
        </w:rPr>
      </w:pPr>
    </w:p>
    <w:p w14:paraId="3EB15176" w14:textId="77777777" w:rsidR="00FB5AD1" w:rsidRDefault="00FB5AD1" w:rsidP="00FB5AD1">
      <w:pPr>
        <w:rPr>
          <w:lang w:val="en-GB"/>
        </w:rPr>
      </w:pPr>
    </w:p>
    <w:p w14:paraId="0349BD58" w14:textId="00DDEBB0" w:rsidR="00FB5AD1" w:rsidRPr="00AB0843" w:rsidRDefault="00FB5AD1" w:rsidP="00FB5AD1">
      <w:pPr>
        <w:rPr>
          <w:b/>
          <w:bCs/>
        </w:rPr>
      </w:pPr>
      <w:r w:rsidRPr="00AB0843">
        <w:rPr>
          <w:b/>
          <w:bCs/>
        </w:rPr>
        <w:t xml:space="preserve">1) </w:t>
      </w:r>
      <w:r w:rsidRPr="00FB5AD1">
        <w:rPr>
          <w:b/>
          <w:bCs/>
          <w:sz w:val="24"/>
          <w:szCs w:val="24"/>
        </w:rPr>
        <w:t>Financial Insight</w:t>
      </w:r>
      <w:r>
        <w:rPr>
          <w:b/>
          <w:bCs/>
          <w:sz w:val="24"/>
          <w:szCs w:val="24"/>
        </w:rPr>
        <w:t>s:</w:t>
      </w:r>
    </w:p>
    <w:p w14:paraId="3EF17E5C" w14:textId="77777777" w:rsidR="00FB5AD1" w:rsidRPr="00AB0843" w:rsidRDefault="00FB5AD1" w:rsidP="00FB5AD1">
      <w:r w:rsidRPr="00AB0843">
        <w:rPr>
          <w:b/>
          <w:bCs/>
        </w:rPr>
        <w:t>Profitability and margins</w:t>
      </w:r>
    </w:p>
    <w:p w14:paraId="51895B67" w14:textId="77777777" w:rsidR="00FB5AD1" w:rsidRPr="00AB0843" w:rsidRDefault="00FB5AD1" w:rsidP="00FB5AD1">
      <w:pPr>
        <w:numPr>
          <w:ilvl w:val="0"/>
          <w:numId w:val="1"/>
        </w:numPr>
      </w:pPr>
      <w:r w:rsidRPr="00AB0843">
        <w:t>Net profit and margin: The dataset includes both net profit (as reported in “Net Revenue Minus Net Costs”) and net profit margin (%). Expect a long-tail distribution: a handful of systems/hospitals with strong positive margins, a middle cluster near breakeven, and a notable subset in negative territory (particularly safety-net or high Medi-Cal mix facilities).</w:t>
      </w:r>
    </w:p>
    <w:p w14:paraId="1D844FF1" w14:textId="77777777" w:rsidR="00FB5AD1" w:rsidRPr="00AB0843" w:rsidRDefault="00FB5AD1" w:rsidP="00FB5AD1">
      <w:pPr>
        <w:numPr>
          <w:ilvl w:val="0"/>
          <w:numId w:val="1"/>
        </w:numPr>
      </w:pPr>
      <w:r w:rsidRPr="00AB0843">
        <w:t xml:space="preserve">Volatility: Margins can be highly sensitive to payer mix shifts (Medi-Cal, Medicare vs commercial), wage inflation, </w:t>
      </w:r>
      <w:proofErr w:type="spellStart"/>
      <w:r w:rsidRPr="00AB0843">
        <w:t>traveler</w:t>
      </w:r>
      <w:proofErr w:type="spellEnd"/>
      <w:r w:rsidRPr="00AB0843">
        <w:t xml:space="preserve"> nurse costs, and drug/supply spikes.</w:t>
      </w:r>
    </w:p>
    <w:p w14:paraId="77FB9C00" w14:textId="77777777" w:rsidR="00FB5AD1" w:rsidRPr="00AB0843" w:rsidRDefault="00FB5AD1" w:rsidP="00FB5AD1">
      <w:r w:rsidRPr="00AB0843">
        <w:rPr>
          <w:b/>
          <w:bCs/>
        </w:rPr>
        <w:t>Revenue mix and leakage</w:t>
      </w:r>
    </w:p>
    <w:p w14:paraId="0A9CA8D6" w14:textId="77777777" w:rsidR="00FB5AD1" w:rsidRPr="00AB0843" w:rsidRDefault="00FB5AD1" w:rsidP="00FB5AD1">
      <w:pPr>
        <w:numPr>
          <w:ilvl w:val="0"/>
          <w:numId w:val="2"/>
        </w:numPr>
      </w:pPr>
      <w:r w:rsidRPr="00AB0843">
        <w:t>Net Patient Revenue vs Other Operating Revenue: Many CA hospitals increasingly rely on non-patient revenue streams (grants, subsidies, philanthropy, 340B). If Other Operating Revenue is material for several hospitals, it suggests dependence on non-core income to offset tight patient margins.</w:t>
      </w:r>
    </w:p>
    <w:p w14:paraId="3705BE88" w14:textId="77777777" w:rsidR="00FB5AD1" w:rsidRPr="00AB0843" w:rsidRDefault="00FB5AD1" w:rsidP="00FB5AD1">
      <w:pPr>
        <w:numPr>
          <w:ilvl w:val="0"/>
          <w:numId w:val="2"/>
        </w:numPr>
      </w:pPr>
      <w:r w:rsidRPr="00AB0843">
        <w:t>Gross Outpatient vs Inpatient: The presence of “Gross Outpatient Revenue” and “Gross Inpatient Revenue” indicates a shift toward outpatient volumes and ASC-like economics. Outpatient-heavy organizations typically have better margin stability if they manage throughput and case mix well.</w:t>
      </w:r>
    </w:p>
    <w:p w14:paraId="726B485C" w14:textId="77777777" w:rsidR="00FB5AD1" w:rsidRPr="00AB0843" w:rsidRDefault="00FB5AD1" w:rsidP="00FB5AD1">
      <w:r w:rsidRPr="00AB0843">
        <w:rPr>
          <w:b/>
          <w:bCs/>
        </w:rPr>
        <w:t>Cost structure pressure</w:t>
      </w:r>
    </w:p>
    <w:p w14:paraId="18C3F346" w14:textId="77777777" w:rsidR="00FB5AD1" w:rsidRPr="00AB0843" w:rsidRDefault="00FB5AD1" w:rsidP="00FB5AD1">
      <w:pPr>
        <w:numPr>
          <w:ilvl w:val="0"/>
          <w:numId w:val="3"/>
        </w:numPr>
      </w:pPr>
      <w:r w:rsidRPr="00AB0843">
        <w:t xml:space="preserve">Salaries &amp; Wages and Employee Benefits are the largest cost blocks. With “Reclassified Physician and Student Compensation,” “Professional Fees,” “Purchased Services,” and “Supplies” also present, </w:t>
      </w:r>
      <w:proofErr w:type="spellStart"/>
      <w:r w:rsidRPr="00AB0843">
        <w:t>labor</w:t>
      </w:r>
      <w:proofErr w:type="spellEnd"/>
      <w:r w:rsidRPr="00AB0843">
        <w:t>-plus-contracting is likely the main margin lever.</w:t>
      </w:r>
    </w:p>
    <w:p w14:paraId="30589607" w14:textId="77777777" w:rsidR="00FB5AD1" w:rsidRPr="00AB0843" w:rsidRDefault="00FB5AD1" w:rsidP="00FB5AD1">
      <w:pPr>
        <w:numPr>
          <w:ilvl w:val="0"/>
          <w:numId w:val="3"/>
        </w:numPr>
      </w:pPr>
      <w:r w:rsidRPr="00AB0843">
        <w:t>Purchased services and professional fees: These often creep over time (IT, revenue cycle outsourcing, temp staffing). High shares here can indicate renegotiation potential or insourcing opportunities if operational maturity exists.</w:t>
      </w:r>
    </w:p>
    <w:p w14:paraId="51805CF7" w14:textId="77777777" w:rsidR="00FB5AD1" w:rsidRPr="00AB0843" w:rsidRDefault="00FB5AD1" w:rsidP="00FB5AD1">
      <w:pPr>
        <w:numPr>
          <w:ilvl w:val="0"/>
          <w:numId w:val="3"/>
        </w:numPr>
      </w:pPr>
      <w:r w:rsidRPr="00AB0843">
        <w:t>Depreciation and leases: Capital-intensive settings (large academic or multi-campus systems) with high depreciation and rental loads will feel more pressure during revenue downturns.</w:t>
      </w:r>
    </w:p>
    <w:p w14:paraId="447B4214" w14:textId="77777777" w:rsidR="00FB5AD1" w:rsidRPr="00AB0843" w:rsidRDefault="00FB5AD1" w:rsidP="00FB5AD1">
      <w:r w:rsidRPr="00FB5AD1">
        <w:rPr>
          <w:color w:val="000000" w:themeColor="text1"/>
        </w:rPr>
        <w:pict w14:anchorId="477C195A">
          <v:rect id="_x0000_i1025" style="width:0;height:0" o:hralign="center" o:hrstd="t" o:hr="t" fillcolor="#a0a0a0" stroked="f"/>
        </w:pict>
      </w:r>
    </w:p>
    <w:p w14:paraId="47A2C4A5" w14:textId="605B0860" w:rsidR="00FB5AD1" w:rsidRPr="00AB0843" w:rsidRDefault="00FB5AD1" w:rsidP="00FB5AD1">
      <w:pPr>
        <w:rPr>
          <w:b/>
          <w:bCs/>
        </w:rPr>
      </w:pPr>
      <w:r w:rsidRPr="00AB0843">
        <w:rPr>
          <w:b/>
          <w:bCs/>
        </w:rPr>
        <w:t xml:space="preserve">2) </w:t>
      </w:r>
      <w:r w:rsidRPr="00FB5AD1">
        <w:rPr>
          <w:b/>
          <w:bCs/>
          <w:sz w:val="24"/>
          <w:szCs w:val="24"/>
        </w:rPr>
        <w:t>Operational Insights</w:t>
      </w:r>
      <w:r>
        <w:rPr>
          <w:b/>
          <w:bCs/>
          <w:sz w:val="24"/>
          <w:szCs w:val="24"/>
        </w:rPr>
        <w:t>:</w:t>
      </w:r>
    </w:p>
    <w:p w14:paraId="4A5EBD71" w14:textId="77777777" w:rsidR="00FB5AD1" w:rsidRPr="00AB0843" w:rsidRDefault="00FB5AD1" w:rsidP="00FB5AD1">
      <w:r w:rsidRPr="00AB0843">
        <w:rPr>
          <w:b/>
          <w:bCs/>
        </w:rPr>
        <w:t>Capacity vs outcomes</w:t>
      </w:r>
    </w:p>
    <w:p w14:paraId="2F96672D" w14:textId="29DAC2FF" w:rsidR="00FB5AD1" w:rsidRPr="00AB0843" w:rsidRDefault="00FB5AD1" w:rsidP="00FB5AD1">
      <w:pPr>
        <w:numPr>
          <w:ilvl w:val="0"/>
          <w:numId w:val="4"/>
        </w:numPr>
      </w:pPr>
      <w:r w:rsidRPr="00AB0843">
        <w:t>Beds Licensed vs Available vs Staffed: Gaps between licensed and staffed beds often reveal labo</w:t>
      </w:r>
      <w:r>
        <w:t>u</w:t>
      </w:r>
      <w:r w:rsidRPr="00AB0843">
        <w:t>r constraints rather than physical capacity limits. Persistent gaps suggest understaffing, high vacancy rates, or cost-control staffing caps.</w:t>
      </w:r>
    </w:p>
    <w:p w14:paraId="3800FBFF" w14:textId="77777777" w:rsidR="00FB5AD1" w:rsidRPr="00AB0843" w:rsidRDefault="00FB5AD1" w:rsidP="00FB5AD1">
      <w:pPr>
        <w:numPr>
          <w:ilvl w:val="0"/>
          <w:numId w:val="4"/>
        </w:numPr>
      </w:pPr>
      <w:r w:rsidRPr="00AB0843">
        <w:lastRenderedPageBreak/>
        <w:t>Patient Days, Discharges, Outpatient Visits: If outpatient growth outpaces inpatient discharges, organizations should align staffing patterns and downstream services to ambulatory flows.</w:t>
      </w:r>
    </w:p>
    <w:p w14:paraId="18D02687" w14:textId="77777777" w:rsidR="00FB5AD1" w:rsidRPr="00AB0843" w:rsidRDefault="00FB5AD1" w:rsidP="00FB5AD1">
      <w:r w:rsidRPr="00AB0843">
        <w:rPr>
          <w:b/>
          <w:bCs/>
        </w:rPr>
        <w:t>Utilization and throughput</w:t>
      </w:r>
    </w:p>
    <w:p w14:paraId="0462C810" w14:textId="77777777" w:rsidR="00FB5AD1" w:rsidRPr="00AB0843" w:rsidRDefault="00FB5AD1" w:rsidP="00FB5AD1">
      <w:pPr>
        <w:numPr>
          <w:ilvl w:val="0"/>
          <w:numId w:val="5"/>
        </w:numPr>
      </w:pPr>
      <w:r w:rsidRPr="00AB0843">
        <w:t>Patient days relative to staffed beds can indicate occupancy. Under 65–70% sustained occupancy typically drives margin headwinds due to fixed staffing and facility costs; over 80–85% strains quality and patient experience.</w:t>
      </w:r>
    </w:p>
    <w:p w14:paraId="5CA1B812" w14:textId="77777777" w:rsidR="00FB5AD1" w:rsidRPr="00AB0843" w:rsidRDefault="00FB5AD1" w:rsidP="00FB5AD1">
      <w:pPr>
        <w:numPr>
          <w:ilvl w:val="0"/>
          <w:numId w:val="5"/>
        </w:numPr>
      </w:pPr>
      <w:r w:rsidRPr="00AB0843">
        <w:t>Discharge throughput: If discharges lag patient days, think longer LOS (length of stay) and potential bottlenecks (post-acute placement, consult delays, diagnostics turnaround).</w:t>
      </w:r>
    </w:p>
    <w:p w14:paraId="431F7576" w14:textId="77777777" w:rsidR="00FB5AD1" w:rsidRPr="00AB0843" w:rsidRDefault="00FB5AD1" w:rsidP="00FB5AD1">
      <w:r w:rsidRPr="00AB0843">
        <w:rPr>
          <w:b/>
          <w:bCs/>
        </w:rPr>
        <w:t>Workforce composition</w:t>
      </w:r>
    </w:p>
    <w:p w14:paraId="28EA116D" w14:textId="77777777" w:rsidR="00FB5AD1" w:rsidRPr="00AB0843" w:rsidRDefault="00FB5AD1" w:rsidP="00FB5AD1">
      <w:pPr>
        <w:numPr>
          <w:ilvl w:val="0"/>
          <w:numId w:val="6"/>
        </w:numPr>
      </w:pPr>
      <w:r w:rsidRPr="00AB0843">
        <w:t>The presence of “Board Certified” vs “Eligible” vs “Other” may hint at acuity/complexity handling. More board-certified hospital-based clinicians typically correlates with complex case capability but higher cost structures—must be matched with payer mix and case-mix index (CMI).</w:t>
      </w:r>
    </w:p>
    <w:p w14:paraId="36AB491B" w14:textId="77777777" w:rsidR="00FB5AD1" w:rsidRPr="00AB0843" w:rsidRDefault="00FB5AD1" w:rsidP="00FB5AD1">
      <w:r>
        <w:pict w14:anchorId="7EE57280">
          <v:rect id="_x0000_i1026" style="width:0;height:0" o:hralign="center" o:hrstd="t" o:hr="t" fillcolor="#a0a0a0" stroked="f"/>
        </w:pict>
      </w:r>
    </w:p>
    <w:p w14:paraId="642067B9" w14:textId="704D652D" w:rsidR="00FB5AD1" w:rsidRPr="00FB5AD1" w:rsidRDefault="00FB5AD1" w:rsidP="00FB5AD1">
      <w:pPr>
        <w:rPr>
          <w:b/>
          <w:bCs/>
          <w:sz w:val="24"/>
          <w:szCs w:val="24"/>
        </w:rPr>
      </w:pPr>
      <w:r w:rsidRPr="00AB0843">
        <w:rPr>
          <w:b/>
          <w:bCs/>
        </w:rPr>
        <w:t xml:space="preserve">3) </w:t>
      </w:r>
      <w:r w:rsidRPr="00FB5AD1">
        <w:rPr>
          <w:b/>
          <w:bCs/>
          <w:sz w:val="24"/>
          <w:szCs w:val="24"/>
        </w:rPr>
        <w:t>Business Insights</w:t>
      </w:r>
      <w:r>
        <w:rPr>
          <w:b/>
          <w:bCs/>
          <w:sz w:val="24"/>
          <w:szCs w:val="24"/>
        </w:rPr>
        <w:t>:</w:t>
      </w:r>
    </w:p>
    <w:p w14:paraId="4A381905" w14:textId="77777777" w:rsidR="00FB5AD1" w:rsidRPr="00AB0843" w:rsidRDefault="00FB5AD1" w:rsidP="00FB5AD1">
      <w:r w:rsidRPr="00AB0843">
        <w:rPr>
          <w:b/>
          <w:bCs/>
        </w:rPr>
        <w:t>Strategic positioning</w:t>
      </w:r>
    </w:p>
    <w:p w14:paraId="6524B579" w14:textId="77777777" w:rsidR="00FB5AD1" w:rsidRPr="00AB0843" w:rsidRDefault="00FB5AD1" w:rsidP="00FB5AD1">
      <w:pPr>
        <w:numPr>
          <w:ilvl w:val="0"/>
          <w:numId w:val="7"/>
        </w:numPr>
      </w:pPr>
      <w:r w:rsidRPr="00AB0843">
        <w:t xml:space="preserve">Outpatient shift: Facilities with strong outpatient revenue and growth are better positioned as care decentralizes. Look for opportunities in imaging, same-day procedures, infusion </w:t>
      </w:r>
      <w:proofErr w:type="spellStart"/>
      <w:r w:rsidRPr="00AB0843">
        <w:t>centers</w:t>
      </w:r>
      <w:proofErr w:type="spellEnd"/>
      <w:r w:rsidRPr="00AB0843">
        <w:t>, and urgent care aligned to referral pathways.</w:t>
      </w:r>
    </w:p>
    <w:p w14:paraId="4C52C8EF" w14:textId="77777777" w:rsidR="00FB5AD1" w:rsidRPr="00AB0843" w:rsidRDefault="00FB5AD1" w:rsidP="00FB5AD1">
      <w:pPr>
        <w:numPr>
          <w:ilvl w:val="0"/>
          <w:numId w:val="7"/>
        </w:numPr>
      </w:pPr>
      <w:r w:rsidRPr="00AB0843">
        <w:t xml:space="preserve">Service line economics: Cardiology, </w:t>
      </w:r>
      <w:proofErr w:type="spellStart"/>
      <w:r w:rsidRPr="00AB0843">
        <w:t>orthopedics</w:t>
      </w:r>
      <w:proofErr w:type="spellEnd"/>
      <w:r w:rsidRPr="00AB0843">
        <w:t>, oncology, and neurosciences remain pivotal. High outpatient gross revenue with stable margins suggests mature elective pipelines and good scheduling optimization.</w:t>
      </w:r>
    </w:p>
    <w:p w14:paraId="1EF35AD5" w14:textId="77777777" w:rsidR="00FB5AD1" w:rsidRPr="00AB0843" w:rsidRDefault="00FB5AD1" w:rsidP="00FB5AD1">
      <w:pPr>
        <w:numPr>
          <w:ilvl w:val="0"/>
          <w:numId w:val="7"/>
        </w:numPr>
      </w:pPr>
      <w:r w:rsidRPr="00AB0843">
        <w:t>Payer mix resilience: Margin leaders often maintain a healthier commercial/premium mix or high-value risk contracts. Hospitals with heavy Medi-Cal exposure must emphasize LOS reduction, ED diversion to lower-cost sites, and social determinants partnerships to control avoidable utilization.</w:t>
      </w:r>
    </w:p>
    <w:p w14:paraId="78F06754" w14:textId="77777777" w:rsidR="00FB5AD1" w:rsidRPr="00AB0843" w:rsidRDefault="00FB5AD1" w:rsidP="00FB5AD1">
      <w:r w:rsidRPr="00AB0843">
        <w:rPr>
          <w:b/>
          <w:bCs/>
        </w:rPr>
        <w:t>Cost-to-serve and network design</w:t>
      </w:r>
    </w:p>
    <w:p w14:paraId="39B90C6F" w14:textId="77777777" w:rsidR="00FB5AD1" w:rsidRPr="00AB0843" w:rsidRDefault="00FB5AD1" w:rsidP="00FB5AD1">
      <w:pPr>
        <w:numPr>
          <w:ilvl w:val="0"/>
          <w:numId w:val="8"/>
        </w:numPr>
      </w:pPr>
      <w:r w:rsidRPr="00AB0843">
        <w:t>Purchased services, rentals, and supplies spikes can signal subscale procurement or fragmented vendor panels. System-level contracting and formulary discipline reduce variance and unit cost.</w:t>
      </w:r>
    </w:p>
    <w:p w14:paraId="0B1ECF2D" w14:textId="77777777" w:rsidR="00FB5AD1" w:rsidRPr="00AB0843" w:rsidRDefault="00FB5AD1" w:rsidP="00FB5AD1">
      <w:pPr>
        <w:numPr>
          <w:ilvl w:val="0"/>
          <w:numId w:val="8"/>
        </w:numPr>
      </w:pPr>
      <w:r w:rsidRPr="00AB0843">
        <w:t>Site-of-care strategy: Move appropriate volumes from hospital outpatient departments to lower-cost settings when feasible; align with payers to avoid reimbursement erosion.</w:t>
      </w:r>
    </w:p>
    <w:p w14:paraId="37FEA473" w14:textId="77777777" w:rsidR="00FB5AD1" w:rsidRPr="00AB0843" w:rsidRDefault="00FB5AD1" w:rsidP="00FB5AD1">
      <w:r>
        <w:pict w14:anchorId="43668C6A">
          <v:rect id="_x0000_i1027" style="width:0;height:0" o:hralign="center" o:hrstd="t" o:hr="t" fillcolor="#a0a0a0" stroked="f"/>
        </w:pict>
      </w:r>
    </w:p>
    <w:p w14:paraId="4605CC96" w14:textId="77777777" w:rsidR="00FB5AD1" w:rsidRDefault="00FB5AD1" w:rsidP="00FB5AD1">
      <w:pPr>
        <w:rPr>
          <w:b/>
          <w:bCs/>
        </w:rPr>
      </w:pPr>
    </w:p>
    <w:p w14:paraId="5C1AB352" w14:textId="075E418F" w:rsidR="00FB5AD1" w:rsidRDefault="00FB5AD1" w:rsidP="00FB5AD1">
      <w:pPr>
        <w:rPr>
          <w:b/>
          <w:bCs/>
          <w:sz w:val="24"/>
          <w:szCs w:val="24"/>
        </w:rPr>
      </w:pPr>
      <w:r w:rsidRPr="00AB0843">
        <w:rPr>
          <w:b/>
          <w:bCs/>
        </w:rPr>
        <w:t xml:space="preserve">4) </w:t>
      </w:r>
      <w:r w:rsidRPr="00FB5AD1">
        <w:rPr>
          <w:b/>
          <w:bCs/>
          <w:sz w:val="24"/>
          <w:szCs w:val="24"/>
        </w:rPr>
        <w:t>Problem Areas (Likely Hotspots)</w:t>
      </w:r>
      <w:r>
        <w:rPr>
          <w:b/>
          <w:bCs/>
          <w:sz w:val="24"/>
          <w:szCs w:val="24"/>
        </w:rPr>
        <w:t>:</w:t>
      </w:r>
    </w:p>
    <w:p w14:paraId="33D3E682" w14:textId="77777777" w:rsidR="00FB5AD1" w:rsidRPr="00AB0843" w:rsidRDefault="00FB5AD1" w:rsidP="00FB5AD1">
      <w:pPr>
        <w:rPr>
          <w:b/>
          <w:bCs/>
        </w:rPr>
      </w:pPr>
      <w:r>
        <w:t xml:space="preserve"> </w:t>
      </w:r>
      <w:r w:rsidRPr="00AB0843">
        <w:rPr>
          <w:b/>
          <w:bCs/>
        </w:rPr>
        <w:t>1) Financial Insights</w:t>
      </w:r>
    </w:p>
    <w:p w14:paraId="633ED1AE" w14:textId="77777777" w:rsidR="00FB5AD1" w:rsidRPr="00AB0843" w:rsidRDefault="00FB5AD1" w:rsidP="00FB5AD1">
      <w:r w:rsidRPr="00AB0843">
        <w:rPr>
          <w:b/>
          <w:bCs/>
        </w:rPr>
        <w:lastRenderedPageBreak/>
        <w:t>Profitability and margins</w:t>
      </w:r>
    </w:p>
    <w:p w14:paraId="7BFEF2D9" w14:textId="77777777" w:rsidR="00FB5AD1" w:rsidRPr="00AB0843" w:rsidRDefault="00FB5AD1" w:rsidP="00FB5AD1">
      <w:pPr>
        <w:numPr>
          <w:ilvl w:val="0"/>
          <w:numId w:val="1"/>
        </w:numPr>
      </w:pPr>
      <w:r w:rsidRPr="00AB0843">
        <w:t>Net profit and margin: The dataset includes both net profit (as reported in “Net Revenue Minus Net Costs”) and net profit margin (%). Expect a long-tail distribution: a handful of systems/hospitals with strong positive margins, a middle cluster near breakeven, and a notable subset in negative territory (particularly safety-net or high Medi-Cal mix facilities).</w:t>
      </w:r>
    </w:p>
    <w:p w14:paraId="7EB76B96" w14:textId="77777777" w:rsidR="00FB5AD1" w:rsidRPr="00AB0843" w:rsidRDefault="00FB5AD1" w:rsidP="00FB5AD1">
      <w:pPr>
        <w:numPr>
          <w:ilvl w:val="0"/>
          <w:numId w:val="1"/>
        </w:numPr>
      </w:pPr>
      <w:r w:rsidRPr="00AB0843">
        <w:t xml:space="preserve">Volatility: Margins can be highly sensitive to payer mix shifts (Medi-Cal, Medicare vs commercial), wage inflation, </w:t>
      </w:r>
      <w:proofErr w:type="spellStart"/>
      <w:r w:rsidRPr="00AB0843">
        <w:t>traveler</w:t>
      </w:r>
      <w:proofErr w:type="spellEnd"/>
      <w:r w:rsidRPr="00AB0843">
        <w:t xml:space="preserve"> nurse costs, and drug/supply spikes.</w:t>
      </w:r>
    </w:p>
    <w:p w14:paraId="5DA743F7" w14:textId="77777777" w:rsidR="00FB5AD1" w:rsidRPr="00AB0843" w:rsidRDefault="00FB5AD1" w:rsidP="00FB5AD1">
      <w:r w:rsidRPr="00AB0843">
        <w:rPr>
          <w:b/>
          <w:bCs/>
        </w:rPr>
        <w:t>Revenue mix and leakage</w:t>
      </w:r>
    </w:p>
    <w:p w14:paraId="74E738EA" w14:textId="77777777" w:rsidR="00FB5AD1" w:rsidRPr="00AB0843" w:rsidRDefault="00FB5AD1" w:rsidP="00FB5AD1">
      <w:pPr>
        <w:numPr>
          <w:ilvl w:val="0"/>
          <w:numId w:val="2"/>
        </w:numPr>
      </w:pPr>
      <w:r w:rsidRPr="00AB0843">
        <w:t>Net Patient Revenue vs Other Operating Revenue: Many CA hospitals increasingly rely on non-patient revenue streams (grants, subsidies, philanthropy, 340B). If Other Operating Revenue is material for several hospitals, it suggests dependence on non-core income to offset tight patient margins.</w:t>
      </w:r>
    </w:p>
    <w:p w14:paraId="657F4F35" w14:textId="77777777" w:rsidR="00FB5AD1" w:rsidRPr="00AB0843" w:rsidRDefault="00FB5AD1" w:rsidP="00FB5AD1">
      <w:pPr>
        <w:numPr>
          <w:ilvl w:val="0"/>
          <w:numId w:val="2"/>
        </w:numPr>
      </w:pPr>
      <w:r w:rsidRPr="00AB0843">
        <w:t>Gross Outpatient vs Inpatient: The presence of “Gross Outpatient Revenue” and “Gross Inpatient Revenue” indicates a shift toward outpatient volumes and ASC-like economics. Outpatient-heavy organizations typically have better margin stability if they manage throughput and case mix well.</w:t>
      </w:r>
    </w:p>
    <w:p w14:paraId="600E9B2A" w14:textId="77777777" w:rsidR="00FB5AD1" w:rsidRPr="00AB0843" w:rsidRDefault="00FB5AD1" w:rsidP="00FB5AD1">
      <w:r w:rsidRPr="00AB0843">
        <w:rPr>
          <w:b/>
          <w:bCs/>
        </w:rPr>
        <w:t>Cost structure pressure</w:t>
      </w:r>
    </w:p>
    <w:p w14:paraId="2B637E37" w14:textId="77777777" w:rsidR="00FB5AD1" w:rsidRPr="00AB0843" w:rsidRDefault="00FB5AD1" w:rsidP="00FB5AD1">
      <w:pPr>
        <w:numPr>
          <w:ilvl w:val="0"/>
          <w:numId w:val="3"/>
        </w:numPr>
      </w:pPr>
      <w:r w:rsidRPr="00AB0843">
        <w:t xml:space="preserve">Salaries &amp; Wages and Employee Benefits are the largest cost blocks. With “Reclassified Physician and Student Compensation,” “Professional Fees,” “Purchased Services,” and “Supplies” also present, </w:t>
      </w:r>
      <w:proofErr w:type="spellStart"/>
      <w:r w:rsidRPr="00AB0843">
        <w:t>labor</w:t>
      </w:r>
      <w:proofErr w:type="spellEnd"/>
      <w:r w:rsidRPr="00AB0843">
        <w:t>-plus-contracting is likely the main margin lever.</w:t>
      </w:r>
    </w:p>
    <w:p w14:paraId="22EDC34C" w14:textId="77777777" w:rsidR="00FB5AD1" w:rsidRPr="00AB0843" w:rsidRDefault="00FB5AD1" w:rsidP="00FB5AD1">
      <w:pPr>
        <w:numPr>
          <w:ilvl w:val="0"/>
          <w:numId w:val="3"/>
        </w:numPr>
      </w:pPr>
      <w:r w:rsidRPr="00AB0843">
        <w:t>Purchased services and professional fees: These often creep over time (IT, revenue cycle outsourcing, temp staffing). High shares here can indicate renegotiation potential or insourcing opportunities if operational maturity exists.</w:t>
      </w:r>
    </w:p>
    <w:p w14:paraId="166A00BF" w14:textId="77777777" w:rsidR="00FB5AD1" w:rsidRPr="00AB0843" w:rsidRDefault="00FB5AD1" w:rsidP="00FB5AD1">
      <w:pPr>
        <w:numPr>
          <w:ilvl w:val="0"/>
          <w:numId w:val="3"/>
        </w:numPr>
      </w:pPr>
      <w:r w:rsidRPr="00AB0843">
        <w:t>Depreciation and leases: Capital-intensive settings (large academic or multi-campus systems) with high depreciation and rental loads will feel more pressure during revenue downturns.</w:t>
      </w:r>
    </w:p>
    <w:p w14:paraId="7BAB5375" w14:textId="77777777" w:rsidR="00FB5AD1" w:rsidRPr="00AB0843" w:rsidRDefault="00FB5AD1" w:rsidP="00FB5AD1">
      <w:r>
        <w:pict w14:anchorId="2C3CB6CB">
          <v:rect id="_x0000_i1039" style="width:0;height:0" o:hralign="center" o:hrstd="t" o:hr="t" fillcolor="#a0a0a0" stroked="f"/>
        </w:pict>
      </w:r>
    </w:p>
    <w:p w14:paraId="76ADB8EB" w14:textId="77777777" w:rsidR="00FB5AD1" w:rsidRPr="00AB0843" w:rsidRDefault="00FB5AD1" w:rsidP="00FB5AD1">
      <w:pPr>
        <w:rPr>
          <w:b/>
          <w:bCs/>
        </w:rPr>
      </w:pPr>
      <w:r w:rsidRPr="00AB0843">
        <w:rPr>
          <w:b/>
          <w:bCs/>
        </w:rPr>
        <w:t>2) Operational Insights</w:t>
      </w:r>
    </w:p>
    <w:p w14:paraId="019C14AC" w14:textId="77777777" w:rsidR="00FB5AD1" w:rsidRPr="00AB0843" w:rsidRDefault="00FB5AD1" w:rsidP="00FB5AD1">
      <w:r w:rsidRPr="00AB0843">
        <w:rPr>
          <w:b/>
          <w:bCs/>
        </w:rPr>
        <w:t>Capacity vs outcomes</w:t>
      </w:r>
    </w:p>
    <w:p w14:paraId="5BD1C35B" w14:textId="77777777" w:rsidR="00FB5AD1" w:rsidRPr="00AB0843" w:rsidRDefault="00FB5AD1" w:rsidP="00FB5AD1">
      <w:pPr>
        <w:numPr>
          <w:ilvl w:val="0"/>
          <w:numId w:val="4"/>
        </w:numPr>
      </w:pPr>
      <w:r w:rsidRPr="00AB0843">
        <w:t xml:space="preserve">Beds Licensed vs Available vs Staffed: Gaps between licensed and staffed beds often reveal </w:t>
      </w:r>
      <w:proofErr w:type="spellStart"/>
      <w:r w:rsidRPr="00AB0843">
        <w:t>labor</w:t>
      </w:r>
      <w:proofErr w:type="spellEnd"/>
      <w:r w:rsidRPr="00AB0843">
        <w:t xml:space="preserve"> constraints rather than physical capacity limits. Persistent gaps suggest understaffing, high vacancy rates, or cost-control staffing caps.</w:t>
      </w:r>
    </w:p>
    <w:p w14:paraId="19404EBB" w14:textId="77777777" w:rsidR="00FB5AD1" w:rsidRPr="00AB0843" w:rsidRDefault="00FB5AD1" w:rsidP="00FB5AD1">
      <w:pPr>
        <w:numPr>
          <w:ilvl w:val="0"/>
          <w:numId w:val="4"/>
        </w:numPr>
      </w:pPr>
      <w:r w:rsidRPr="00AB0843">
        <w:t>Patient Days, Discharges, Outpatient Visits: If outpatient growth outpaces inpatient discharges, organizations should align staffing patterns and downstream services to ambulatory flows.</w:t>
      </w:r>
    </w:p>
    <w:p w14:paraId="5319249D" w14:textId="77777777" w:rsidR="00FB5AD1" w:rsidRPr="00AB0843" w:rsidRDefault="00FB5AD1" w:rsidP="00FB5AD1">
      <w:r w:rsidRPr="00AB0843">
        <w:rPr>
          <w:b/>
          <w:bCs/>
        </w:rPr>
        <w:t>Utilization and throughput</w:t>
      </w:r>
    </w:p>
    <w:p w14:paraId="069E7C39" w14:textId="77777777" w:rsidR="00FB5AD1" w:rsidRPr="00AB0843" w:rsidRDefault="00FB5AD1" w:rsidP="00FB5AD1">
      <w:pPr>
        <w:numPr>
          <w:ilvl w:val="0"/>
          <w:numId w:val="5"/>
        </w:numPr>
      </w:pPr>
      <w:r w:rsidRPr="00AB0843">
        <w:lastRenderedPageBreak/>
        <w:t>Patient days relative to staffed beds can indicate occupancy. Under 65–70% sustained occupancy typically drives margin headwinds due to fixed staffing and facility costs; over 80–85% strains quality and patient experience.</w:t>
      </w:r>
    </w:p>
    <w:p w14:paraId="09103A60" w14:textId="77777777" w:rsidR="00FB5AD1" w:rsidRPr="00AB0843" w:rsidRDefault="00FB5AD1" w:rsidP="00FB5AD1">
      <w:pPr>
        <w:numPr>
          <w:ilvl w:val="0"/>
          <w:numId w:val="5"/>
        </w:numPr>
      </w:pPr>
      <w:r w:rsidRPr="00AB0843">
        <w:t>Discharge throughput: If discharges lag patient days, think longer LOS (length of stay) and potential bottlenecks (post-acute placement, consult delays, diagnostics turnaround).</w:t>
      </w:r>
    </w:p>
    <w:p w14:paraId="4E9C3A09" w14:textId="77777777" w:rsidR="00FB5AD1" w:rsidRPr="00AB0843" w:rsidRDefault="00FB5AD1" w:rsidP="00FB5AD1">
      <w:r w:rsidRPr="00AB0843">
        <w:rPr>
          <w:b/>
          <w:bCs/>
        </w:rPr>
        <w:t>Workforce composition</w:t>
      </w:r>
    </w:p>
    <w:p w14:paraId="5A6B37D8" w14:textId="77777777" w:rsidR="00FB5AD1" w:rsidRPr="00AB0843" w:rsidRDefault="00FB5AD1" w:rsidP="00FB5AD1">
      <w:pPr>
        <w:numPr>
          <w:ilvl w:val="0"/>
          <w:numId w:val="6"/>
        </w:numPr>
      </w:pPr>
      <w:r w:rsidRPr="00AB0843">
        <w:t>The presence of “Board Certified” vs “Eligible” vs “Other” may hint at acuity/complexity handling. More board-certified hospital-based clinicians typically correlates with complex case capability but higher cost structures—must be matched with payer mix and case-mix index (CMI).</w:t>
      </w:r>
    </w:p>
    <w:p w14:paraId="5E4A4BBC" w14:textId="77777777" w:rsidR="00FB5AD1" w:rsidRPr="00AB0843" w:rsidRDefault="00FB5AD1" w:rsidP="00FB5AD1">
      <w:r>
        <w:pict w14:anchorId="303D520E">
          <v:rect id="_x0000_i1040" style="width:0;height:0" o:hralign="center" o:hrstd="t" o:hr="t" fillcolor="#a0a0a0" stroked="f"/>
        </w:pict>
      </w:r>
    </w:p>
    <w:p w14:paraId="63484536" w14:textId="77777777" w:rsidR="00FB5AD1" w:rsidRPr="00AB0843" w:rsidRDefault="00FB5AD1" w:rsidP="00FB5AD1">
      <w:pPr>
        <w:rPr>
          <w:b/>
          <w:bCs/>
        </w:rPr>
      </w:pPr>
      <w:r w:rsidRPr="00AB0843">
        <w:rPr>
          <w:b/>
          <w:bCs/>
        </w:rPr>
        <w:t>3) Business Insights</w:t>
      </w:r>
    </w:p>
    <w:p w14:paraId="66940141" w14:textId="77777777" w:rsidR="00FB5AD1" w:rsidRPr="00AB0843" w:rsidRDefault="00FB5AD1" w:rsidP="00FB5AD1">
      <w:r w:rsidRPr="00AB0843">
        <w:rPr>
          <w:b/>
          <w:bCs/>
        </w:rPr>
        <w:t>Strategic positioning</w:t>
      </w:r>
    </w:p>
    <w:p w14:paraId="5701163E" w14:textId="77777777" w:rsidR="00FB5AD1" w:rsidRPr="00AB0843" w:rsidRDefault="00FB5AD1" w:rsidP="00FB5AD1">
      <w:pPr>
        <w:numPr>
          <w:ilvl w:val="0"/>
          <w:numId w:val="7"/>
        </w:numPr>
      </w:pPr>
      <w:r w:rsidRPr="00AB0843">
        <w:t xml:space="preserve">Outpatient shift: Facilities with strong outpatient revenue and growth are better positioned as care decentralizes. Look for opportunities in imaging, same-day procedures, infusion </w:t>
      </w:r>
      <w:proofErr w:type="spellStart"/>
      <w:r w:rsidRPr="00AB0843">
        <w:t>centers</w:t>
      </w:r>
      <w:proofErr w:type="spellEnd"/>
      <w:r w:rsidRPr="00AB0843">
        <w:t>, and urgent care aligned to referral pathways.</w:t>
      </w:r>
    </w:p>
    <w:p w14:paraId="5FBF3D7C" w14:textId="77777777" w:rsidR="00FB5AD1" w:rsidRPr="00AB0843" w:rsidRDefault="00FB5AD1" w:rsidP="00FB5AD1">
      <w:pPr>
        <w:numPr>
          <w:ilvl w:val="0"/>
          <w:numId w:val="7"/>
        </w:numPr>
      </w:pPr>
      <w:r w:rsidRPr="00AB0843">
        <w:t xml:space="preserve">Service line economics: Cardiology, </w:t>
      </w:r>
      <w:proofErr w:type="spellStart"/>
      <w:r w:rsidRPr="00AB0843">
        <w:t>orthopedics</w:t>
      </w:r>
      <w:proofErr w:type="spellEnd"/>
      <w:r w:rsidRPr="00AB0843">
        <w:t>, oncology, and neurosciences remain pivotal. High outpatient gross revenue with stable margins suggests mature elective pipelines and good scheduling optimization.</w:t>
      </w:r>
    </w:p>
    <w:p w14:paraId="46A6ACA4" w14:textId="77777777" w:rsidR="00FB5AD1" w:rsidRPr="00AB0843" w:rsidRDefault="00FB5AD1" w:rsidP="00FB5AD1">
      <w:pPr>
        <w:numPr>
          <w:ilvl w:val="0"/>
          <w:numId w:val="7"/>
        </w:numPr>
      </w:pPr>
      <w:r w:rsidRPr="00AB0843">
        <w:t>Payer mix resilience: Margin leaders often maintain a healthier commercial/premium mix or high-value risk contracts. Hospitals with heavy Medi-Cal exposure must emphasize LOS reduction, ED diversion to lower-cost sites, and social determinants partnerships to control avoidable utilization.</w:t>
      </w:r>
    </w:p>
    <w:p w14:paraId="0339ED51" w14:textId="77777777" w:rsidR="00FB5AD1" w:rsidRPr="00AB0843" w:rsidRDefault="00FB5AD1" w:rsidP="00FB5AD1">
      <w:r w:rsidRPr="00AB0843">
        <w:rPr>
          <w:b/>
          <w:bCs/>
        </w:rPr>
        <w:t>Cost-to-serve and network design</w:t>
      </w:r>
    </w:p>
    <w:p w14:paraId="6051F8D1" w14:textId="77777777" w:rsidR="00FB5AD1" w:rsidRPr="00AB0843" w:rsidRDefault="00FB5AD1" w:rsidP="00FB5AD1">
      <w:pPr>
        <w:numPr>
          <w:ilvl w:val="0"/>
          <w:numId w:val="8"/>
        </w:numPr>
      </w:pPr>
      <w:r w:rsidRPr="00AB0843">
        <w:t>Purchased services, rentals, and supplies spikes can signal subscale procurement or fragmented vendor panels. System-level contracting and formulary discipline reduce variance and unit cost.</w:t>
      </w:r>
    </w:p>
    <w:p w14:paraId="43C35334" w14:textId="77777777" w:rsidR="00FB5AD1" w:rsidRPr="00AB0843" w:rsidRDefault="00FB5AD1" w:rsidP="00FB5AD1">
      <w:pPr>
        <w:numPr>
          <w:ilvl w:val="0"/>
          <w:numId w:val="8"/>
        </w:numPr>
      </w:pPr>
      <w:r w:rsidRPr="00AB0843">
        <w:t>Site-of-care strategy: Move appropriate volumes from hospital outpatient departments to lower-cost settings when feasible; align with payers to avoid reimbursement erosion.</w:t>
      </w:r>
    </w:p>
    <w:p w14:paraId="375BC43D" w14:textId="77777777" w:rsidR="00FB5AD1" w:rsidRPr="00AB0843" w:rsidRDefault="00FB5AD1" w:rsidP="00FB5AD1">
      <w:r>
        <w:pict w14:anchorId="3B81A16D">
          <v:rect id="_x0000_i1041" style="width:0;height:0" o:hralign="center" o:hrstd="t" o:hr="t" fillcolor="#a0a0a0" stroked="f"/>
        </w:pict>
      </w:r>
    </w:p>
    <w:p w14:paraId="56842389" w14:textId="048C98DD" w:rsidR="00FB5AD1" w:rsidRPr="00FB5AD1" w:rsidRDefault="00FB5AD1" w:rsidP="00FB5AD1">
      <w:pPr>
        <w:rPr>
          <w:b/>
          <w:bCs/>
          <w:sz w:val="24"/>
          <w:szCs w:val="24"/>
        </w:rPr>
      </w:pPr>
      <w:r w:rsidRPr="00AB0843">
        <w:rPr>
          <w:b/>
          <w:bCs/>
        </w:rPr>
        <w:t xml:space="preserve">4) </w:t>
      </w:r>
      <w:r w:rsidRPr="00FB5AD1">
        <w:rPr>
          <w:b/>
          <w:bCs/>
          <w:sz w:val="24"/>
          <w:szCs w:val="24"/>
        </w:rPr>
        <w:t>Problem Areas (Likely Hotspots)</w:t>
      </w:r>
      <w:r w:rsidRPr="00FB5AD1">
        <w:rPr>
          <w:b/>
          <w:bCs/>
          <w:sz w:val="24"/>
          <w:szCs w:val="24"/>
        </w:rPr>
        <w:t>:</w:t>
      </w:r>
    </w:p>
    <w:p w14:paraId="265434A2" w14:textId="77777777" w:rsidR="00FB5AD1" w:rsidRPr="00AB0843" w:rsidRDefault="00FB5AD1" w:rsidP="00FB5AD1">
      <w:pPr>
        <w:numPr>
          <w:ilvl w:val="0"/>
          <w:numId w:val="9"/>
        </w:numPr>
      </w:pPr>
      <w:r w:rsidRPr="00AB0843">
        <w:t>Negative or near-zero net margins, especially where:</w:t>
      </w:r>
    </w:p>
    <w:p w14:paraId="0773F9FB" w14:textId="1947FEDE" w:rsidR="00FB5AD1" w:rsidRPr="00AB0843" w:rsidRDefault="00FB5AD1" w:rsidP="00FB5AD1">
      <w:pPr>
        <w:numPr>
          <w:ilvl w:val="1"/>
          <w:numId w:val="9"/>
        </w:numPr>
      </w:pPr>
      <w:r w:rsidRPr="00AB0843">
        <w:t>Staffed beds significantly lag licensed capacity (labo</w:t>
      </w:r>
      <w:r>
        <w:t>u</w:t>
      </w:r>
      <w:r w:rsidRPr="00AB0843">
        <w:t>r constraints elevating costs per unit of service).</w:t>
      </w:r>
    </w:p>
    <w:p w14:paraId="0749BE78" w14:textId="77777777" w:rsidR="00FB5AD1" w:rsidRPr="00AB0843" w:rsidRDefault="00FB5AD1" w:rsidP="00FB5AD1">
      <w:pPr>
        <w:numPr>
          <w:ilvl w:val="1"/>
          <w:numId w:val="9"/>
        </w:numPr>
      </w:pPr>
      <w:r w:rsidRPr="00AB0843">
        <w:t>Net patient revenue growth trails adjusted direct expenses growth.</w:t>
      </w:r>
    </w:p>
    <w:p w14:paraId="331CC27C" w14:textId="77777777" w:rsidR="00FB5AD1" w:rsidRPr="00AB0843" w:rsidRDefault="00FB5AD1" w:rsidP="00FB5AD1">
      <w:pPr>
        <w:numPr>
          <w:ilvl w:val="1"/>
          <w:numId w:val="9"/>
        </w:numPr>
      </w:pPr>
      <w:r w:rsidRPr="00AB0843">
        <w:t>Outpatient revenue mix growing but not translating into margin (pricing pressure or inadequate throughput).</w:t>
      </w:r>
    </w:p>
    <w:p w14:paraId="715DCE0F" w14:textId="77777777" w:rsidR="00FB5AD1" w:rsidRPr="00AB0843" w:rsidRDefault="00FB5AD1" w:rsidP="00FB5AD1">
      <w:pPr>
        <w:numPr>
          <w:ilvl w:val="0"/>
          <w:numId w:val="9"/>
        </w:numPr>
      </w:pPr>
      <w:r w:rsidRPr="00AB0843">
        <w:lastRenderedPageBreak/>
        <w:t>High salaries and benefits plus professional fees at the same time (double pressure). Indicates reliance on temps/locums/consultancies while carrying a large core team.</w:t>
      </w:r>
    </w:p>
    <w:p w14:paraId="36B70C70" w14:textId="77777777" w:rsidR="00FB5AD1" w:rsidRPr="00AB0843" w:rsidRDefault="00FB5AD1" w:rsidP="00FB5AD1">
      <w:pPr>
        <w:numPr>
          <w:ilvl w:val="0"/>
          <w:numId w:val="9"/>
        </w:numPr>
      </w:pPr>
      <w:r w:rsidRPr="00AB0843">
        <w:t>Elevated purchased services and leases over time—points to vendor proliferation and under-optimized asset strategy.</w:t>
      </w:r>
    </w:p>
    <w:p w14:paraId="2764E940" w14:textId="77777777" w:rsidR="00FB5AD1" w:rsidRPr="00AB0843" w:rsidRDefault="00FB5AD1" w:rsidP="00FB5AD1">
      <w:pPr>
        <w:numPr>
          <w:ilvl w:val="0"/>
          <w:numId w:val="9"/>
        </w:numPr>
      </w:pPr>
      <w:r w:rsidRPr="00AB0843">
        <w:t>Low discharges relative to patient days (longer LOS), implying capacity tied up by avoidable delays in diagnostics, consults, or post-acute placement.</w:t>
      </w:r>
    </w:p>
    <w:p w14:paraId="6554F771" w14:textId="77777777" w:rsidR="00FB5AD1" w:rsidRPr="00AB0843" w:rsidRDefault="00FB5AD1" w:rsidP="00FB5AD1">
      <w:pPr>
        <w:numPr>
          <w:ilvl w:val="0"/>
          <w:numId w:val="9"/>
        </w:numPr>
      </w:pPr>
      <w:r w:rsidRPr="00AB0843">
        <w:t>Margin dispersion across hospitals within the same system (if applicable), suggesting uneven practice patterns, pricing, or staffing.</w:t>
      </w:r>
    </w:p>
    <w:p w14:paraId="07A596ED" w14:textId="77777777" w:rsidR="00FB5AD1" w:rsidRPr="00AB0843" w:rsidRDefault="00FB5AD1" w:rsidP="00FB5AD1">
      <w:r>
        <w:pict w14:anchorId="771AB13B">
          <v:rect id="_x0000_i1042" style="width:0;height:0" o:hralign="center" o:hrstd="t" o:hr="t" fillcolor="#a0a0a0" stroked="f"/>
        </w:pict>
      </w:r>
    </w:p>
    <w:p w14:paraId="769BB2A6" w14:textId="40346481" w:rsidR="00FB5AD1" w:rsidRPr="00A67F43" w:rsidRDefault="00FB5AD1" w:rsidP="00FB5AD1">
      <w:pPr>
        <w:rPr>
          <w:b/>
          <w:bCs/>
          <w:sz w:val="24"/>
          <w:szCs w:val="24"/>
        </w:rPr>
      </w:pPr>
      <w:r w:rsidRPr="00AB0843">
        <w:rPr>
          <w:b/>
          <w:bCs/>
        </w:rPr>
        <w:t>5)</w:t>
      </w:r>
      <w:r w:rsidRPr="00A67F43">
        <w:rPr>
          <w:b/>
          <w:bCs/>
          <w:sz w:val="24"/>
          <w:szCs w:val="24"/>
        </w:rPr>
        <w:t xml:space="preserve"> Recommendations</w:t>
      </w:r>
      <w:r w:rsidR="00A67F43" w:rsidRPr="00A67F43">
        <w:rPr>
          <w:b/>
          <w:bCs/>
          <w:sz w:val="24"/>
          <w:szCs w:val="24"/>
        </w:rPr>
        <w:t>:</w:t>
      </w:r>
    </w:p>
    <w:p w14:paraId="4E217F1E" w14:textId="77777777" w:rsidR="00FB5AD1" w:rsidRPr="00AB0843" w:rsidRDefault="00FB5AD1" w:rsidP="00FB5AD1">
      <w:pPr>
        <w:numPr>
          <w:ilvl w:val="0"/>
          <w:numId w:val="10"/>
        </w:numPr>
      </w:pPr>
      <w:r w:rsidRPr="00AB0843">
        <w:t>Margin stabilization and enhancement</w:t>
      </w:r>
    </w:p>
    <w:p w14:paraId="761682A1" w14:textId="77777777" w:rsidR="00FB5AD1" w:rsidRPr="00AB0843" w:rsidRDefault="00FB5AD1" w:rsidP="00FB5AD1">
      <w:pPr>
        <w:numPr>
          <w:ilvl w:val="0"/>
          <w:numId w:val="11"/>
        </w:numPr>
      </w:pPr>
      <w:r w:rsidRPr="00AB0843">
        <w:t>Targeted cost actions:</w:t>
      </w:r>
    </w:p>
    <w:p w14:paraId="589E476F" w14:textId="77777777" w:rsidR="00FB5AD1" w:rsidRPr="00AB0843" w:rsidRDefault="00FB5AD1" w:rsidP="00FB5AD1">
      <w:pPr>
        <w:numPr>
          <w:ilvl w:val="1"/>
          <w:numId w:val="11"/>
        </w:numPr>
      </w:pPr>
      <w:r w:rsidRPr="00AB0843">
        <w:t>Labor productivity: Implement tiered staffing models, float pools, and centralized scheduling. Tighten VRN/</w:t>
      </w:r>
      <w:proofErr w:type="spellStart"/>
      <w:r w:rsidRPr="00AB0843">
        <w:t>traveler</w:t>
      </w:r>
      <w:proofErr w:type="spellEnd"/>
      <w:r w:rsidRPr="00AB0843">
        <w:t xml:space="preserve"> usage with incentive-based retention for core staff.</w:t>
      </w:r>
    </w:p>
    <w:p w14:paraId="4B274B5C" w14:textId="77777777" w:rsidR="00FB5AD1" w:rsidRPr="00AB0843" w:rsidRDefault="00FB5AD1" w:rsidP="00FB5AD1">
      <w:pPr>
        <w:numPr>
          <w:ilvl w:val="1"/>
          <w:numId w:val="11"/>
        </w:numPr>
      </w:pPr>
      <w:r w:rsidRPr="00AB0843">
        <w:t>Purchased services: Conduct a top-20 vendor spend review; consolidate and rebid. Create service-level standards and internal benchmarks.</w:t>
      </w:r>
    </w:p>
    <w:p w14:paraId="3D82E0B0" w14:textId="77777777" w:rsidR="00FB5AD1" w:rsidRPr="00AB0843" w:rsidRDefault="00FB5AD1" w:rsidP="00FB5AD1">
      <w:pPr>
        <w:numPr>
          <w:ilvl w:val="1"/>
          <w:numId w:val="11"/>
        </w:numPr>
      </w:pPr>
      <w:r w:rsidRPr="00AB0843">
        <w:t>Physician comp alignment: Ensure compensation models reward productivity, quality, and access targets; reduce variability across similar specialties.</w:t>
      </w:r>
    </w:p>
    <w:p w14:paraId="60F298BA" w14:textId="77777777" w:rsidR="00FB5AD1" w:rsidRPr="00AB0843" w:rsidRDefault="00FB5AD1" w:rsidP="00FB5AD1">
      <w:pPr>
        <w:numPr>
          <w:ilvl w:val="0"/>
          <w:numId w:val="11"/>
        </w:numPr>
      </w:pPr>
      <w:r w:rsidRPr="00AB0843">
        <w:t>Revenue optimization:</w:t>
      </w:r>
    </w:p>
    <w:p w14:paraId="55D9FAC6" w14:textId="77777777" w:rsidR="00FB5AD1" w:rsidRPr="00AB0843" w:rsidRDefault="00FB5AD1" w:rsidP="00FB5AD1">
      <w:pPr>
        <w:numPr>
          <w:ilvl w:val="1"/>
          <w:numId w:val="11"/>
        </w:numPr>
      </w:pPr>
      <w:r w:rsidRPr="00AB0843">
        <w:t>Site-of-care shifts: Expand ambulatory surgery, imaging, infusion, and home-based services; reduce HOPD cost leakage where payer dynamics require it.</w:t>
      </w:r>
    </w:p>
    <w:p w14:paraId="26766AA7" w14:textId="77777777" w:rsidR="00FB5AD1" w:rsidRPr="00AB0843" w:rsidRDefault="00FB5AD1" w:rsidP="00FB5AD1">
      <w:pPr>
        <w:numPr>
          <w:ilvl w:val="1"/>
          <w:numId w:val="11"/>
        </w:numPr>
      </w:pPr>
      <w:r w:rsidRPr="00AB0843">
        <w:t>Contracting: Strengthen commercial payer analytics; prioritize service lines with high incremental margins and strong employer demand. Expand bundled payments in ortho/cardiac where throughput is tight and quality is strong.</w:t>
      </w:r>
    </w:p>
    <w:p w14:paraId="27E651A6" w14:textId="77777777" w:rsidR="00FB5AD1" w:rsidRPr="00AB0843" w:rsidRDefault="00FB5AD1" w:rsidP="00FB5AD1">
      <w:pPr>
        <w:numPr>
          <w:ilvl w:val="1"/>
          <w:numId w:val="11"/>
        </w:numPr>
      </w:pPr>
      <w:r w:rsidRPr="00AB0843">
        <w:t>Coding and denials: Tighten documentation and reduce initial denials via pre-service eligibility checks, CDI programs, and targeted payer workflows.</w:t>
      </w:r>
    </w:p>
    <w:p w14:paraId="49D723FF" w14:textId="77777777" w:rsidR="00FB5AD1" w:rsidRPr="00AB0843" w:rsidRDefault="00FB5AD1" w:rsidP="00FB5AD1">
      <w:pPr>
        <w:numPr>
          <w:ilvl w:val="0"/>
          <w:numId w:val="12"/>
        </w:numPr>
      </w:pPr>
      <w:r w:rsidRPr="00AB0843">
        <w:t>Throughput and LOS reduction</w:t>
      </w:r>
    </w:p>
    <w:p w14:paraId="5D8CCD8B" w14:textId="77777777" w:rsidR="00FB5AD1" w:rsidRPr="00AB0843" w:rsidRDefault="00FB5AD1" w:rsidP="00FB5AD1">
      <w:pPr>
        <w:numPr>
          <w:ilvl w:val="0"/>
          <w:numId w:val="13"/>
        </w:numPr>
      </w:pPr>
      <w:r w:rsidRPr="00AB0843">
        <w:t>Launch daily multidisciplinary rounds with clear discharge criteria; implement predictive discharge tools to smooth bed turns.</w:t>
      </w:r>
    </w:p>
    <w:p w14:paraId="7DB63A83" w14:textId="77777777" w:rsidR="00FB5AD1" w:rsidRPr="00AB0843" w:rsidRDefault="00FB5AD1" w:rsidP="00FB5AD1">
      <w:pPr>
        <w:numPr>
          <w:ilvl w:val="0"/>
          <w:numId w:val="13"/>
        </w:numPr>
      </w:pPr>
      <w:r w:rsidRPr="00AB0843">
        <w:t>Create a centralized post-acute coordination unit to accelerate SNF/home health placements and prevent avoidable inpatient days.</w:t>
      </w:r>
    </w:p>
    <w:p w14:paraId="52EFBECE" w14:textId="77777777" w:rsidR="00FB5AD1" w:rsidRPr="00AB0843" w:rsidRDefault="00FB5AD1" w:rsidP="00FB5AD1">
      <w:pPr>
        <w:numPr>
          <w:ilvl w:val="0"/>
          <w:numId w:val="14"/>
        </w:numPr>
      </w:pPr>
      <w:r w:rsidRPr="00AB0843">
        <w:t>Outpatient growth and access</w:t>
      </w:r>
    </w:p>
    <w:p w14:paraId="5277D18E" w14:textId="77777777" w:rsidR="00FB5AD1" w:rsidRPr="00AB0843" w:rsidRDefault="00FB5AD1" w:rsidP="00FB5AD1">
      <w:pPr>
        <w:numPr>
          <w:ilvl w:val="0"/>
          <w:numId w:val="15"/>
        </w:numPr>
      </w:pPr>
      <w:r w:rsidRPr="00AB0843">
        <w:t>Expand same-day access blocks and extended hours in primary/specialty care to reduce leakage and ED overuse for low-acuity conditions.</w:t>
      </w:r>
    </w:p>
    <w:p w14:paraId="59AF23EE" w14:textId="77777777" w:rsidR="00FB5AD1" w:rsidRPr="00AB0843" w:rsidRDefault="00FB5AD1" w:rsidP="00FB5AD1">
      <w:pPr>
        <w:numPr>
          <w:ilvl w:val="0"/>
          <w:numId w:val="15"/>
        </w:numPr>
      </w:pPr>
      <w:r w:rsidRPr="00AB0843">
        <w:t>Standardize referral pathways and scheduling to reduce no-shows and speed time-to-treatment for profitable service lines.</w:t>
      </w:r>
    </w:p>
    <w:p w14:paraId="2F023828" w14:textId="77777777" w:rsidR="00FB5AD1" w:rsidRPr="00AB0843" w:rsidRDefault="00FB5AD1" w:rsidP="00FB5AD1">
      <w:pPr>
        <w:numPr>
          <w:ilvl w:val="0"/>
          <w:numId w:val="16"/>
        </w:numPr>
      </w:pPr>
      <w:r w:rsidRPr="00AB0843">
        <w:lastRenderedPageBreak/>
        <w:t>Workforce and capability mix</w:t>
      </w:r>
    </w:p>
    <w:p w14:paraId="03311015" w14:textId="77777777" w:rsidR="00FB5AD1" w:rsidRPr="00AB0843" w:rsidRDefault="00FB5AD1" w:rsidP="00FB5AD1">
      <w:pPr>
        <w:numPr>
          <w:ilvl w:val="0"/>
          <w:numId w:val="17"/>
        </w:numPr>
      </w:pPr>
      <w:r w:rsidRPr="00AB0843">
        <w:t>Balance board-certified staffing with actual acuity and payer mix; use hospitalists and APPs strategically for coverage efficiency.</w:t>
      </w:r>
    </w:p>
    <w:p w14:paraId="0C4295ED" w14:textId="77777777" w:rsidR="00FB5AD1" w:rsidRPr="00AB0843" w:rsidRDefault="00FB5AD1" w:rsidP="00FB5AD1">
      <w:pPr>
        <w:numPr>
          <w:ilvl w:val="0"/>
          <w:numId w:val="17"/>
        </w:numPr>
      </w:pPr>
      <w:r w:rsidRPr="00AB0843">
        <w:t>Invest in cross-training and team-based care to flex capacity between inpatient and ambulatory settings.</w:t>
      </w:r>
    </w:p>
    <w:p w14:paraId="717E6396" w14:textId="77777777" w:rsidR="00FB5AD1" w:rsidRPr="00AB0843" w:rsidRDefault="00FB5AD1" w:rsidP="00FB5AD1">
      <w:pPr>
        <w:numPr>
          <w:ilvl w:val="0"/>
          <w:numId w:val="18"/>
        </w:numPr>
      </w:pPr>
      <w:r w:rsidRPr="00AB0843">
        <w:t>Performance management and governance</w:t>
      </w:r>
    </w:p>
    <w:p w14:paraId="18BF750F" w14:textId="09D1699D" w:rsidR="00FB5AD1" w:rsidRPr="00AB0843" w:rsidRDefault="00FB5AD1" w:rsidP="00FB5AD1">
      <w:pPr>
        <w:numPr>
          <w:ilvl w:val="0"/>
          <w:numId w:val="19"/>
        </w:numPr>
      </w:pPr>
      <w:r w:rsidRPr="00AB0843">
        <w:t>Establish a monthly service-line P&amp;L with volume, price, and cost variance drivers. Tie manager incentives to 3–5 KPIs: net margin, LOS, OR block utilization, denial rate, and labo</w:t>
      </w:r>
      <w:r w:rsidR="00A67F43">
        <w:t>u</w:t>
      </w:r>
      <w:r w:rsidRPr="00AB0843">
        <w:t>r per RVU/encounter.</w:t>
      </w:r>
    </w:p>
    <w:p w14:paraId="03FA89A8" w14:textId="43247CE4" w:rsidR="00FB5AD1" w:rsidRPr="00AB0843" w:rsidRDefault="00FB5AD1" w:rsidP="00FB5AD1">
      <w:pPr>
        <w:numPr>
          <w:ilvl w:val="0"/>
          <w:numId w:val="19"/>
        </w:numPr>
      </w:pPr>
      <w:r w:rsidRPr="00AB0843">
        <w:t>Implement a systemwide formulary and supply catalog</w:t>
      </w:r>
      <w:r w:rsidR="00A67F43">
        <w:t>ue</w:t>
      </w:r>
      <w:r w:rsidRPr="00AB0843">
        <w:t xml:space="preserve"> to reduce SKU proliferation and unit cost variance.</w:t>
      </w:r>
    </w:p>
    <w:p w14:paraId="3D7FB744" w14:textId="77777777" w:rsidR="00FB5AD1" w:rsidRPr="00AB0843" w:rsidRDefault="00FB5AD1" w:rsidP="00FB5AD1">
      <w:r>
        <w:pict w14:anchorId="560E0E15">
          <v:rect id="_x0000_i1043" style="width:0;height:0" o:hralign="center" o:hrstd="t" o:hr="t" fillcolor="#a0a0a0" stroked="f"/>
        </w:pict>
      </w:r>
    </w:p>
    <w:p w14:paraId="67A67F3F" w14:textId="69D80BDF" w:rsidR="00FB5AD1" w:rsidRPr="00AB0843" w:rsidRDefault="00FB5AD1" w:rsidP="00FB5AD1">
      <w:pPr>
        <w:rPr>
          <w:b/>
          <w:bCs/>
        </w:rPr>
      </w:pPr>
      <w:r w:rsidRPr="00AB0843">
        <w:rPr>
          <w:b/>
          <w:bCs/>
        </w:rPr>
        <w:t xml:space="preserve">6) </w:t>
      </w:r>
      <w:r w:rsidRPr="00A67F43">
        <w:rPr>
          <w:b/>
          <w:bCs/>
          <w:sz w:val="24"/>
          <w:szCs w:val="24"/>
        </w:rPr>
        <w:t>Quick Wins (Next 90 Days)</w:t>
      </w:r>
      <w:r w:rsidR="00A67F43" w:rsidRPr="00A67F43">
        <w:rPr>
          <w:b/>
          <w:bCs/>
          <w:sz w:val="24"/>
          <w:szCs w:val="24"/>
        </w:rPr>
        <w:t>:</w:t>
      </w:r>
    </w:p>
    <w:p w14:paraId="796C8207" w14:textId="77777777" w:rsidR="00FB5AD1" w:rsidRPr="00AB0843" w:rsidRDefault="00FB5AD1" w:rsidP="00FB5AD1">
      <w:pPr>
        <w:numPr>
          <w:ilvl w:val="0"/>
          <w:numId w:val="20"/>
        </w:numPr>
      </w:pPr>
      <w:r w:rsidRPr="00AB0843">
        <w:t>Vendor consolidation sprint: Rebids for top purchased services; target 5–10% savings on a concentrated subset.</w:t>
      </w:r>
    </w:p>
    <w:p w14:paraId="52C54732" w14:textId="77777777" w:rsidR="00FB5AD1" w:rsidRPr="00AB0843" w:rsidRDefault="00FB5AD1" w:rsidP="00FB5AD1">
      <w:pPr>
        <w:numPr>
          <w:ilvl w:val="0"/>
          <w:numId w:val="20"/>
        </w:numPr>
      </w:pPr>
      <w:r w:rsidRPr="00AB0843">
        <w:t>LOS “block-and-tackle”: Start discharge before noon initiative; partner with top 3 SNFs/Home Health for guaranteed next-day placement slots.</w:t>
      </w:r>
    </w:p>
    <w:p w14:paraId="75491E5B" w14:textId="77777777" w:rsidR="00FB5AD1" w:rsidRPr="00AB0843" w:rsidRDefault="00FB5AD1" w:rsidP="00FB5AD1">
      <w:pPr>
        <w:numPr>
          <w:ilvl w:val="0"/>
          <w:numId w:val="20"/>
        </w:numPr>
      </w:pPr>
      <w:r w:rsidRPr="00AB0843">
        <w:t xml:space="preserve">Revenue cycle tune-up: Tackle top-denial reasons for the top 5 payers; pre-service eligibility and authorization </w:t>
      </w:r>
      <w:proofErr w:type="gramStart"/>
      <w:r w:rsidRPr="00AB0843">
        <w:t>checks</w:t>
      </w:r>
      <w:proofErr w:type="gramEnd"/>
      <w:r w:rsidRPr="00AB0843">
        <w:t xml:space="preserve"> for high-cost imaging and surgeries.</w:t>
      </w:r>
    </w:p>
    <w:p w14:paraId="111E770E" w14:textId="77777777" w:rsidR="00FB5AD1" w:rsidRPr="00AB0843" w:rsidRDefault="00FB5AD1" w:rsidP="00FB5AD1">
      <w:pPr>
        <w:numPr>
          <w:ilvl w:val="0"/>
          <w:numId w:val="20"/>
        </w:numPr>
      </w:pPr>
      <w:r w:rsidRPr="00AB0843">
        <w:t>OR and clinic access: Add early-evening blocks and double-book policy for known no-show hours; track filled rate weekly.</w:t>
      </w:r>
    </w:p>
    <w:p w14:paraId="58CA2070" w14:textId="77777777" w:rsidR="00FB5AD1" w:rsidRPr="00AB0843" w:rsidRDefault="00FB5AD1" w:rsidP="00FB5AD1">
      <w:r>
        <w:pict w14:anchorId="743F19F6">
          <v:rect id="_x0000_i1044" style="width:0;height:0" o:hralign="center" o:hrstd="t" o:hr="t" fillcolor="#a0a0a0" stroked="f"/>
        </w:pict>
      </w:r>
    </w:p>
    <w:p w14:paraId="5D4B460C" w14:textId="0F3DDD36" w:rsidR="00FB5AD1" w:rsidRPr="00AB0843" w:rsidRDefault="00FB5AD1" w:rsidP="00FB5AD1">
      <w:pPr>
        <w:rPr>
          <w:b/>
          <w:bCs/>
        </w:rPr>
      </w:pPr>
      <w:r w:rsidRPr="00AB0843">
        <w:rPr>
          <w:b/>
          <w:bCs/>
        </w:rPr>
        <w:t xml:space="preserve">7) </w:t>
      </w:r>
      <w:r w:rsidRPr="00FB5AD1">
        <w:rPr>
          <w:b/>
          <w:bCs/>
          <w:sz w:val="24"/>
          <w:szCs w:val="24"/>
        </w:rPr>
        <w:t>What to Watch</w:t>
      </w:r>
      <w:r>
        <w:rPr>
          <w:b/>
          <w:bCs/>
          <w:sz w:val="24"/>
          <w:szCs w:val="24"/>
        </w:rPr>
        <w:t>:</w:t>
      </w:r>
    </w:p>
    <w:p w14:paraId="2BCB20A3" w14:textId="5272A2D6" w:rsidR="00FB5AD1" w:rsidRPr="00AB0843" w:rsidRDefault="00FB5AD1" w:rsidP="00FB5AD1">
      <w:pPr>
        <w:numPr>
          <w:ilvl w:val="0"/>
          <w:numId w:val="21"/>
        </w:numPr>
      </w:pPr>
      <w:r w:rsidRPr="00AB0843">
        <w:t>Net profit margin trend vs adjusted direct expenses: If expenses outpace net patient revenue for two consecutive quarters, intensify labo</w:t>
      </w:r>
      <w:r>
        <w:t>u</w:t>
      </w:r>
      <w:r w:rsidRPr="00AB0843">
        <w:t>r/productivity and vendor actions.</w:t>
      </w:r>
    </w:p>
    <w:p w14:paraId="2AAFE4BC" w14:textId="77777777" w:rsidR="00FB5AD1" w:rsidRPr="00AB0843" w:rsidRDefault="00FB5AD1" w:rsidP="00FB5AD1">
      <w:pPr>
        <w:numPr>
          <w:ilvl w:val="0"/>
          <w:numId w:val="21"/>
        </w:numPr>
      </w:pPr>
      <w:r w:rsidRPr="00AB0843">
        <w:t>Outpatient-to-inpatient ratio and contribution margin per encounter: Ensure outpatient growth is profitable, not just volume for volume’s sake.</w:t>
      </w:r>
    </w:p>
    <w:p w14:paraId="38E6B9C5" w14:textId="7A0950EE" w:rsidR="00FB5AD1" w:rsidRPr="00AB0843" w:rsidRDefault="00FB5AD1" w:rsidP="00FB5AD1">
      <w:pPr>
        <w:numPr>
          <w:ilvl w:val="0"/>
          <w:numId w:val="21"/>
        </w:numPr>
      </w:pPr>
      <w:r w:rsidRPr="00AB0843">
        <w:t>Staffed/available bed gap: Narrowing over time signals better labo</w:t>
      </w:r>
      <w:r>
        <w:t>u</w:t>
      </w:r>
      <w:r w:rsidRPr="00AB0843">
        <w:t>r stability and planning; widening suggests retention and recruitment issues.</w:t>
      </w:r>
    </w:p>
    <w:sectPr w:rsidR="00FB5AD1" w:rsidRPr="00AB0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5690"/>
    <w:multiLevelType w:val="multilevel"/>
    <w:tmpl w:val="3012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4009C"/>
    <w:multiLevelType w:val="multilevel"/>
    <w:tmpl w:val="389C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83124"/>
    <w:multiLevelType w:val="multilevel"/>
    <w:tmpl w:val="B7EA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B7463"/>
    <w:multiLevelType w:val="multilevel"/>
    <w:tmpl w:val="94F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EA1851"/>
    <w:multiLevelType w:val="multilevel"/>
    <w:tmpl w:val="355C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FC6385"/>
    <w:multiLevelType w:val="multilevel"/>
    <w:tmpl w:val="760A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EA4D87"/>
    <w:multiLevelType w:val="multilevel"/>
    <w:tmpl w:val="DF50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C2516E"/>
    <w:multiLevelType w:val="multilevel"/>
    <w:tmpl w:val="5544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0D680E"/>
    <w:multiLevelType w:val="multilevel"/>
    <w:tmpl w:val="743CAE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A0401"/>
    <w:multiLevelType w:val="multilevel"/>
    <w:tmpl w:val="941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696BF7"/>
    <w:multiLevelType w:val="multilevel"/>
    <w:tmpl w:val="84D4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743A79"/>
    <w:multiLevelType w:val="multilevel"/>
    <w:tmpl w:val="FF249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A77325"/>
    <w:multiLevelType w:val="multilevel"/>
    <w:tmpl w:val="53207D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396761"/>
    <w:multiLevelType w:val="multilevel"/>
    <w:tmpl w:val="79AA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071331"/>
    <w:multiLevelType w:val="multilevel"/>
    <w:tmpl w:val="E0DA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045023"/>
    <w:multiLevelType w:val="multilevel"/>
    <w:tmpl w:val="229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3937B3"/>
    <w:multiLevelType w:val="multilevel"/>
    <w:tmpl w:val="3D88DB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B90CB9"/>
    <w:multiLevelType w:val="multilevel"/>
    <w:tmpl w:val="AA28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76263B"/>
    <w:multiLevelType w:val="multilevel"/>
    <w:tmpl w:val="E064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397A77"/>
    <w:multiLevelType w:val="multilevel"/>
    <w:tmpl w:val="14EC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2138B9"/>
    <w:multiLevelType w:val="multilevel"/>
    <w:tmpl w:val="C72C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561764">
    <w:abstractNumId w:val="18"/>
  </w:num>
  <w:num w:numId="2" w16cid:durableId="1959795087">
    <w:abstractNumId w:val="14"/>
  </w:num>
  <w:num w:numId="3" w16cid:durableId="396317444">
    <w:abstractNumId w:val="9"/>
  </w:num>
  <w:num w:numId="4" w16cid:durableId="1127042490">
    <w:abstractNumId w:val="4"/>
  </w:num>
  <w:num w:numId="5" w16cid:durableId="1025252811">
    <w:abstractNumId w:val="7"/>
  </w:num>
  <w:num w:numId="6" w16cid:durableId="849947854">
    <w:abstractNumId w:val="6"/>
  </w:num>
  <w:num w:numId="7" w16cid:durableId="947388621">
    <w:abstractNumId w:val="1"/>
  </w:num>
  <w:num w:numId="8" w16cid:durableId="1012341521">
    <w:abstractNumId w:val="15"/>
  </w:num>
  <w:num w:numId="9" w16cid:durableId="247229713">
    <w:abstractNumId w:val="0"/>
  </w:num>
  <w:num w:numId="10" w16cid:durableId="1928266423">
    <w:abstractNumId w:val="20"/>
  </w:num>
  <w:num w:numId="11" w16cid:durableId="755177887">
    <w:abstractNumId w:val="17"/>
  </w:num>
  <w:num w:numId="12" w16cid:durableId="1098136147">
    <w:abstractNumId w:val="8"/>
  </w:num>
  <w:num w:numId="13" w16cid:durableId="2032562728">
    <w:abstractNumId w:val="13"/>
  </w:num>
  <w:num w:numId="14" w16cid:durableId="1745301363">
    <w:abstractNumId w:val="12"/>
  </w:num>
  <w:num w:numId="15" w16cid:durableId="1445462988">
    <w:abstractNumId w:val="3"/>
  </w:num>
  <w:num w:numId="16" w16cid:durableId="67848336">
    <w:abstractNumId w:val="16"/>
  </w:num>
  <w:num w:numId="17" w16cid:durableId="1369598527">
    <w:abstractNumId w:val="19"/>
  </w:num>
  <w:num w:numId="18" w16cid:durableId="1325426599">
    <w:abstractNumId w:val="11"/>
  </w:num>
  <w:num w:numId="19" w16cid:durableId="800348329">
    <w:abstractNumId w:val="10"/>
  </w:num>
  <w:num w:numId="20" w16cid:durableId="79447678">
    <w:abstractNumId w:val="5"/>
  </w:num>
  <w:num w:numId="21" w16cid:durableId="1655183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D1"/>
    <w:rsid w:val="00834EF8"/>
    <w:rsid w:val="008C395D"/>
    <w:rsid w:val="00A67F43"/>
    <w:rsid w:val="00F06F7E"/>
    <w:rsid w:val="00FB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BF32"/>
  <w15:chartTrackingRefBased/>
  <w15:docId w15:val="{DE27CCAC-E421-4807-9F4F-5FB43088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AD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AD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AD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A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AD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AD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AD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AD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AD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AD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AD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1913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bala</dc:creator>
  <cp:keywords/>
  <dc:description/>
  <cp:lastModifiedBy>hema bala</cp:lastModifiedBy>
  <cp:revision>1</cp:revision>
  <dcterms:created xsi:type="dcterms:W3CDTF">2025-10-04T05:10:00Z</dcterms:created>
  <dcterms:modified xsi:type="dcterms:W3CDTF">2025-10-04T05:37:00Z</dcterms:modified>
</cp:coreProperties>
</file>