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F57A" w14:textId="53335FFD" w:rsidR="00F025F3" w:rsidRDefault="00F025F3" w:rsidP="00F025F3">
      <w:pPr>
        <w:pStyle w:val="Title"/>
        <w:jc w:val="center"/>
        <w:rPr>
          <w:rFonts w:ascii="Times New Roman" w:hAnsi="Times New Roman" w:cs="Times New Roman"/>
          <w:b/>
          <w:bCs/>
          <w:color w:val="5B9BD5" w:themeColor="accent1"/>
        </w:rPr>
      </w:pPr>
      <w:r w:rsidRPr="00F025F3">
        <w:rPr>
          <w:rFonts w:ascii="Times New Roman" w:hAnsi="Times New Roman" w:cs="Times New Roman"/>
          <w:b/>
          <w:bCs/>
          <w:color w:val="5B9BD5" w:themeColor="accent1"/>
        </w:rPr>
        <w:t>SUMMARY</w:t>
      </w:r>
    </w:p>
    <w:p w14:paraId="4EAF62E3" w14:textId="77777777" w:rsidR="00F025F3" w:rsidRPr="00F025F3" w:rsidRDefault="00F025F3" w:rsidP="00F025F3"/>
    <w:p w14:paraId="63ACA2F3" w14:textId="5A8F9A6B" w:rsidR="00F025F3" w:rsidRPr="00F025F3" w:rsidRDefault="00F025F3" w:rsidP="00F025F3">
      <w:pPr>
        <w:rPr>
          <w:b/>
          <w:bCs/>
          <w:sz w:val="28"/>
          <w:szCs w:val="28"/>
        </w:rPr>
      </w:pPr>
      <w:r w:rsidRPr="00F025F3">
        <w:rPr>
          <w:b/>
          <w:bCs/>
          <w:sz w:val="28"/>
          <w:szCs w:val="28"/>
        </w:rPr>
        <w:t>Insights and Trends</w:t>
      </w:r>
      <w:r>
        <w:rPr>
          <w:b/>
          <w:bCs/>
          <w:sz w:val="28"/>
          <w:szCs w:val="28"/>
        </w:rPr>
        <w:t>:</w:t>
      </w:r>
    </w:p>
    <w:p w14:paraId="2EC21EB1" w14:textId="77777777" w:rsidR="00F025F3" w:rsidRPr="00F025F3" w:rsidRDefault="00F025F3" w:rsidP="00F025F3">
      <w:pPr>
        <w:numPr>
          <w:ilvl w:val="0"/>
          <w:numId w:val="4"/>
        </w:numPr>
        <w:rPr>
          <w:sz w:val="24"/>
          <w:szCs w:val="24"/>
        </w:rPr>
      </w:pPr>
      <w:r w:rsidRPr="00F025F3">
        <w:rPr>
          <w:sz w:val="24"/>
          <w:szCs w:val="24"/>
        </w:rPr>
        <w:t>Total discharges and total days of care show a gentle downward trend across the visible years, suggesting lower inpatient utilization intensity or shifting care toward outpatient and post-acute settings.</w:t>
      </w:r>
    </w:p>
    <w:p w14:paraId="68203F2B" w14:textId="77777777" w:rsidR="00F025F3" w:rsidRPr="00F025F3" w:rsidRDefault="00F025F3" w:rsidP="00F025F3">
      <w:pPr>
        <w:numPr>
          <w:ilvl w:val="0"/>
          <w:numId w:val="4"/>
        </w:numPr>
        <w:rPr>
          <w:sz w:val="24"/>
          <w:szCs w:val="24"/>
        </w:rPr>
      </w:pPr>
      <w:r w:rsidRPr="00F025F3">
        <w:rPr>
          <w:sz w:val="24"/>
          <w:szCs w:val="24"/>
        </w:rPr>
        <w:t>Covered days track closely with total days of care, implying stable coverage ratios; any widening gap would indicate more uncovered days or benefit design changes, which is not evident at a glance.</w:t>
      </w:r>
    </w:p>
    <w:p w14:paraId="382450C7" w14:textId="77777777" w:rsidR="00F025F3" w:rsidRPr="00F025F3" w:rsidRDefault="00F025F3" w:rsidP="00F025F3">
      <w:pPr>
        <w:numPr>
          <w:ilvl w:val="0"/>
          <w:numId w:val="4"/>
        </w:numPr>
        <w:rPr>
          <w:sz w:val="24"/>
          <w:szCs w:val="24"/>
        </w:rPr>
      </w:pPr>
      <w:r w:rsidRPr="00F025F3">
        <w:rPr>
          <w:sz w:val="24"/>
          <w:szCs w:val="24"/>
        </w:rPr>
        <w:t>Total program payments appear to grow modestly even as utilization inches down, implying rising unit costs (payment per discharge/day) or case-mix/severity changes.</w:t>
      </w:r>
    </w:p>
    <w:p w14:paraId="643BBB4E" w14:textId="5FA1291D" w:rsidR="00F025F3" w:rsidRPr="00F025F3" w:rsidRDefault="00F025F3" w:rsidP="00F025F3">
      <w:pPr>
        <w:rPr>
          <w:b/>
          <w:bCs/>
          <w:sz w:val="28"/>
          <w:szCs w:val="28"/>
        </w:rPr>
      </w:pPr>
      <w:r w:rsidRPr="00F025F3">
        <w:rPr>
          <w:b/>
          <w:bCs/>
          <w:sz w:val="28"/>
          <w:szCs w:val="28"/>
        </w:rPr>
        <w:t>Forecast (short-term, directional)</w:t>
      </w:r>
      <w:r>
        <w:rPr>
          <w:b/>
          <w:bCs/>
          <w:sz w:val="28"/>
          <w:szCs w:val="28"/>
        </w:rPr>
        <w:t>:</w:t>
      </w:r>
    </w:p>
    <w:p w14:paraId="628D9772" w14:textId="77777777" w:rsidR="00F025F3" w:rsidRPr="00F025F3" w:rsidRDefault="00F025F3" w:rsidP="00F025F3">
      <w:pPr>
        <w:numPr>
          <w:ilvl w:val="0"/>
          <w:numId w:val="5"/>
        </w:numPr>
        <w:rPr>
          <w:sz w:val="24"/>
          <w:szCs w:val="24"/>
        </w:rPr>
      </w:pPr>
      <w:r w:rsidRPr="00F025F3">
        <w:rPr>
          <w:sz w:val="24"/>
          <w:szCs w:val="24"/>
        </w:rPr>
        <w:t>If recent trends persist:</w:t>
      </w:r>
    </w:p>
    <w:p w14:paraId="6CF7D0C5" w14:textId="77777777" w:rsidR="00F025F3" w:rsidRPr="00F025F3" w:rsidRDefault="00F025F3" w:rsidP="00F025F3">
      <w:pPr>
        <w:numPr>
          <w:ilvl w:val="1"/>
          <w:numId w:val="5"/>
        </w:numPr>
        <w:rPr>
          <w:sz w:val="24"/>
          <w:szCs w:val="24"/>
        </w:rPr>
      </w:pPr>
      <w:r w:rsidRPr="00F025F3">
        <w:rPr>
          <w:sz w:val="24"/>
          <w:szCs w:val="24"/>
        </w:rPr>
        <w:t>Discharges: slight decline (low single-digit percentage over 2–3 years).</w:t>
      </w:r>
    </w:p>
    <w:p w14:paraId="7A110608" w14:textId="77777777" w:rsidR="00F025F3" w:rsidRPr="00F025F3" w:rsidRDefault="00F025F3" w:rsidP="00F025F3">
      <w:pPr>
        <w:numPr>
          <w:ilvl w:val="1"/>
          <w:numId w:val="5"/>
        </w:numPr>
        <w:rPr>
          <w:sz w:val="24"/>
          <w:szCs w:val="24"/>
        </w:rPr>
      </w:pPr>
      <w:r w:rsidRPr="00F025F3">
        <w:rPr>
          <w:sz w:val="24"/>
          <w:szCs w:val="24"/>
        </w:rPr>
        <w:t>Days of care: similar slight decline; average length of stay likely flat to slightly down.</w:t>
      </w:r>
    </w:p>
    <w:p w14:paraId="7A215378" w14:textId="77777777" w:rsidR="00F025F3" w:rsidRPr="00F025F3" w:rsidRDefault="00F025F3" w:rsidP="00F025F3">
      <w:pPr>
        <w:numPr>
          <w:ilvl w:val="1"/>
          <w:numId w:val="5"/>
        </w:numPr>
        <w:rPr>
          <w:sz w:val="24"/>
          <w:szCs w:val="24"/>
        </w:rPr>
      </w:pPr>
      <w:r w:rsidRPr="00F025F3">
        <w:rPr>
          <w:sz w:val="24"/>
          <w:szCs w:val="24"/>
        </w:rPr>
        <w:t>Program payments: flat to slightly up due to price growth outpacing utilization decline, raising payment per unit.</w:t>
      </w:r>
    </w:p>
    <w:p w14:paraId="6B8C1874" w14:textId="39C5DD65" w:rsidR="00F025F3" w:rsidRPr="00F025F3" w:rsidRDefault="00F025F3" w:rsidP="00F025F3">
      <w:pPr>
        <w:rPr>
          <w:b/>
          <w:bCs/>
          <w:sz w:val="28"/>
          <w:szCs w:val="28"/>
        </w:rPr>
      </w:pPr>
      <w:r w:rsidRPr="00F025F3">
        <w:rPr>
          <w:b/>
          <w:bCs/>
          <w:sz w:val="28"/>
          <w:szCs w:val="28"/>
        </w:rPr>
        <w:t>Recommendations</w:t>
      </w:r>
      <w:r>
        <w:rPr>
          <w:b/>
          <w:bCs/>
          <w:sz w:val="28"/>
          <w:szCs w:val="28"/>
        </w:rPr>
        <w:t>:</w:t>
      </w:r>
    </w:p>
    <w:p w14:paraId="50635770" w14:textId="01EA3D20" w:rsidR="00F025F3" w:rsidRPr="00F025F3" w:rsidRDefault="00F025F3" w:rsidP="00F025F3">
      <w:pPr>
        <w:numPr>
          <w:ilvl w:val="0"/>
          <w:numId w:val="6"/>
        </w:numPr>
        <w:rPr>
          <w:sz w:val="24"/>
          <w:szCs w:val="24"/>
        </w:rPr>
      </w:pPr>
      <w:r w:rsidRPr="00F025F3">
        <w:rPr>
          <w:sz w:val="24"/>
          <w:szCs w:val="24"/>
        </w:rPr>
        <w:t xml:space="preserve">Examine site-of-care shifts: </w:t>
      </w:r>
      <w:r>
        <w:rPr>
          <w:sz w:val="24"/>
          <w:szCs w:val="24"/>
        </w:rPr>
        <w:t>C</w:t>
      </w:r>
      <w:r w:rsidRPr="00F025F3">
        <w:rPr>
          <w:sz w:val="24"/>
          <w:szCs w:val="24"/>
        </w:rPr>
        <w:t>orrelate inpatient declines with outpatient/same-day growth to understand substitution.</w:t>
      </w:r>
    </w:p>
    <w:p w14:paraId="0E1E4C4A" w14:textId="7CABB9F1" w:rsidR="00F025F3" w:rsidRPr="00F025F3" w:rsidRDefault="00F025F3" w:rsidP="00F025F3">
      <w:pPr>
        <w:numPr>
          <w:ilvl w:val="0"/>
          <w:numId w:val="6"/>
        </w:numPr>
        <w:rPr>
          <w:sz w:val="24"/>
          <w:szCs w:val="24"/>
        </w:rPr>
      </w:pPr>
      <w:r w:rsidRPr="00F025F3">
        <w:rPr>
          <w:sz w:val="24"/>
          <w:szCs w:val="24"/>
        </w:rPr>
        <w:t xml:space="preserve">Case-mix audit: </w:t>
      </w:r>
      <w:r>
        <w:rPr>
          <w:sz w:val="24"/>
          <w:szCs w:val="24"/>
        </w:rPr>
        <w:t>A</w:t>
      </w:r>
      <w:r w:rsidRPr="00F025F3">
        <w:rPr>
          <w:sz w:val="24"/>
          <w:szCs w:val="24"/>
        </w:rPr>
        <w:t>naly</w:t>
      </w:r>
      <w:r>
        <w:rPr>
          <w:sz w:val="24"/>
          <w:szCs w:val="24"/>
        </w:rPr>
        <w:t>s</w:t>
      </w:r>
      <w:r w:rsidRPr="00F025F3">
        <w:rPr>
          <w:sz w:val="24"/>
          <w:szCs w:val="24"/>
        </w:rPr>
        <w:t>e DRG/acuity trends to determine whether rising spend is severity-driven or price-driven.</w:t>
      </w:r>
    </w:p>
    <w:p w14:paraId="3B617C3D" w14:textId="7964D483" w:rsidR="00F025F3" w:rsidRPr="00F025F3" w:rsidRDefault="00F025F3" w:rsidP="00F025F3">
      <w:pPr>
        <w:numPr>
          <w:ilvl w:val="0"/>
          <w:numId w:val="6"/>
        </w:numPr>
        <w:rPr>
          <w:sz w:val="24"/>
          <w:szCs w:val="24"/>
        </w:rPr>
      </w:pPr>
      <w:r w:rsidRPr="00F025F3">
        <w:rPr>
          <w:sz w:val="24"/>
          <w:szCs w:val="24"/>
        </w:rPr>
        <w:t xml:space="preserve">Efficiency initiatives: </w:t>
      </w:r>
      <w:r>
        <w:rPr>
          <w:sz w:val="24"/>
          <w:szCs w:val="24"/>
        </w:rPr>
        <w:t>T</w:t>
      </w:r>
      <w:r w:rsidRPr="00F025F3">
        <w:rPr>
          <w:sz w:val="24"/>
          <w:szCs w:val="24"/>
        </w:rPr>
        <w:t>arget readmission reduction and care pathways that shorten medically unnecessary length of stay.</w:t>
      </w:r>
    </w:p>
    <w:p w14:paraId="25E80355" w14:textId="3A804FBB" w:rsidR="00F025F3" w:rsidRPr="00F025F3" w:rsidRDefault="00F025F3" w:rsidP="00F025F3">
      <w:pPr>
        <w:numPr>
          <w:ilvl w:val="0"/>
          <w:numId w:val="6"/>
        </w:numPr>
        <w:rPr>
          <w:sz w:val="24"/>
          <w:szCs w:val="24"/>
        </w:rPr>
      </w:pPr>
      <w:r w:rsidRPr="00F025F3">
        <w:rPr>
          <w:sz w:val="24"/>
          <w:szCs w:val="24"/>
        </w:rPr>
        <w:t xml:space="preserve">Contracting focus: </w:t>
      </w:r>
      <w:r>
        <w:rPr>
          <w:sz w:val="24"/>
          <w:szCs w:val="24"/>
        </w:rPr>
        <w:t>N</w:t>
      </w:r>
      <w:r w:rsidRPr="00F025F3">
        <w:rPr>
          <w:sz w:val="24"/>
          <w:szCs w:val="24"/>
        </w:rPr>
        <w:t>egotiate on high-impact DRGs and devices where unit prices drive spend increases.</w:t>
      </w:r>
    </w:p>
    <w:p w14:paraId="237B897E" w14:textId="77777777" w:rsidR="00834EF8" w:rsidRPr="00F025F3" w:rsidRDefault="00834EF8">
      <w:pPr>
        <w:rPr>
          <w:sz w:val="24"/>
          <w:szCs w:val="24"/>
        </w:rPr>
      </w:pPr>
    </w:p>
    <w:sectPr w:rsidR="00834EF8" w:rsidRPr="00F0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480"/>
    <w:multiLevelType w:val="multilevel"/>
    <w:tmpl w:val="1B2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108B0"/>
    <w:multiLevelType w:val="multilevel"/>
    <w:tmpl w:val="FA8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46966"/>
    <w:multiLevelType w:val="multilevel"/>
    <w:tmpl w:val="695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1E6340"/>
    <w:multiLevelType w:val="multilevel"/>
    <w:tmpl w:val="9C7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CA6576"/>
    <w:multiLevelType w:val="multilevel"/>
    <w:tmpl w:val="662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CA37D2"/>
    <w:multiLevelType w:val="multilevel"/>
    <w:tmpl w:val="6CE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1427334">
    <w:abstractNumId w:val="1"/>
  </w:num>
  <w:num w:numId="2" w16cid:durableId="2061860654">
    <w:abstractNumId w:val="0"/>
  </w:num>
  <w:num w:numId="3" w16cid:durableId="1319194040">
    <w:abstractNumId w:val="3"/>
  </w:num>
  <w:num w:numId="4" w16cid:durableId="959799318">
    <w:abstractNumId w:val="2"/>
  </w:num>
  <w:num w:numId="5" w16cid:durableId="539364802">
    <w:abstractNumId w:val="4"/>
  </w:num>
  <w:num w:numId="6" w16cid:durableId="420177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F3"/>
    <w:rsid w:val="00600DF2"/>
    <w:rsid w:val="00834EF8"/>
    <w:rsid w:val="00F025F3"/>
    <w:rsid w:val="00F0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60F0"/>
  <w15:chartTrackingRefBased/>
  <w15:docId w15:val="{42DCEA3C-B2FE-420E-98D6-2AA29C7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5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bala</dc:creator>
  <cp:keywords/>
  <dc:description/>
  <cp:lastModifiedBy>hema bala</cp:lastModifiedBy>
  <cp:revision>1</cp:revision>
  <dcterms:created xsi:type="dcterms:W3CDTF">2025-10-06T07:02:00Z</dcterms:created>
  <dcterms:modified xsi:type="dcterms:W3CDTF">2025-10-06T07:08:00Z</dcterms:modified>
</cp:coreProperties>
</file>