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 RICH RENDERER</w:t>
      </w:r>
    </w:p>
    <w:p>
      <w:r>
        <w:rPr>
          <w:b/>
          <w:color w:val="4B737C"/>
          <w:sz w:val="30"/>
        </w:rPr>
        <w:t>Brief de producto, experiencia de usuario y arquitectura</w:t>
      </w:r>
    </w:p>
    <w:p>
      <w:r>
        <w:rPr>
          <w:b/>
        </w:rPr>
        <w:t xml:space="preserve">Entorno objetivo: </w:t>
      </w:r>
      <w:r>
        <w:t>Pi Coding Agent 1.0 · Gentle Shell 4.0.0 · Windows</w:t>
      </w:r>
    </w:p>
    <w:p>
      <w:r>
        <w:rPr>
          <w:b/>
        </w:rPr>
        <w:t xml:space="preserve">Tipo de documento: </w:t>
      </w:r>
      <w:r>
        <w:t>Brief de referencia para diseñar e implementar una extensión integrada en la TUI.</w:t>
      </w:r>
    </w:p>
    <w:p>
      <w:r>
        <w:rPr>
          <w:b/>
        </w:rPr>
        <w:t xml:space="preserve">Estado: </w:t>
      </w:r>
      <w:r>
        <w:t>Especificación propuesta. Las capacidades concretas de integración deben validarse con las APIs públicas de Pi.</w:t>
      </w:r>
    </w:p>
    <w:p>
      <w:pPr>
        <w:pStyle w:val="Heading1"/>
      </w:pPr>
      <w:r>
        <w:t>1. Resumen ejecutivo</w:t>
      </w:r>
    </w:p>
    <w:p>
      <w:r>
        <w:t>Pi Rich Renderer es una extensión para Pi Coding Agent orientada a mejorar cómo se leen, seleccionan, copian y exportan los bloques de contenido que aparecen en las respuestas del asistente. Debe funcionar dentro de la TUI, con una experiencia consistente para código, tablas, diffs, formatos estructurados, listas, diagramas y fórmulas.</w:t>
      </w:r>
    </w:p>
    <w:p>
      <w:r>
        <w:t>Principio central: separar siempre la fuente original de su representación visual. Los bordes, colores, números de línea, encabezados y controles no deben contaminar el contenido copiado. La extensión debe aprovechar las APIs públicas de Pi, evitar parches al núcleo y no requerir una aplicación externa.</w:t>
      </w:r>
    </w:p>
    <w:p>
      <w:pPr>
        <w:pStyle w:val="Heading1"/>
      </w:pPr>
      <w:r>
        <w:t>2. Problema</w:t>
      </w:r>
    </w:p>
    <w:p>
      <w:pPr>
        <w:pStyle w:val="ListBullet"/>
      </w:pPr>
      <w:r>
        <w:t>Los bloques de código extensos son difíciles de leer en una TUI cuando no tienen una presentación clara.</w:t>
      </w:r>
    </w:p>
    <w:p>
      <w:pPr>
        <w:pStyle w:val="ListBullet"/>
      </w:pPr>
      <w:r>
        <w:t>Copiar desde una representación visual puede incluir bordes, caracteres decorativos, numeración o fences Markdown.</w:t>
      </w:r>
    </w:p>
    <w:p>
      <w:pPr>
        <w:pStyle w:val="ListBullet"/>
      </w:pPr>
      <w:r>
        <w:t>Las tablas Markdown pueden quedar desalineadas y no siempre se pueden reutilizar fácilmente en hojas de cálculo.</w:t>
      </w:r>
    </w:p>
    <w:p>
      <w:pPr>
        <w:pStyle w:val="ListBullet"/>
      </w:pPr>
      <w:r>
        <w:t>Diffs, JSON, YAML, XML, listas, diagramas y fórmulas necesitan tratamientos visuales diferentes.</w:t>
      </w:r>
    </w:p>
    <w:p>
      <w:pPr>
        <w:pStyle w:val="ListBullet"/>
      </w:pPr>
      <w:r>
        <w:t>Las acciones de copiar, ampliar y exportar deben comportarse de forma coherente entre tipos de contenido.</w:t>
      </w:r>
    </w:p>
    <w:p>
      <w:pPr>
        <w:pStyle w:val="Heading1"/>
      </w:pPr>
      <w:r>
        <w:t>3. Objetivos</w:t>
      </w:r>
    </w:p>
    <w:p>
      <w:pPr>
        <w:pStyle w:val="ListBullet"/>
      </w:pPr>
      <w:r>
        <w:t>Mejorar la legibilidad de código y contenido estructurado dentro de la TUI de Pi.</w:t>
      </w:r>
    </w:p>
    <w:p>
      <w:pPr>
        <w:pStyle w:val="ListBullet"/>
      </w:pPr>
      <w:r>
        <w:t>Copiar la fuente exacta de un bloque sin decoración de la interfaz.</w:t>
      </w:r>
    </w:p>
    <w:p>
      <w:pPr>
        <w:pStyle w:val="ListBullet"/>
      </w:pPr>
      <w:r>
        <w:t>Conservar indentación, líneas vacías, Unicode y saltos de línea internos.</w:t>
      </w:r>
    </w:p>
    <w:p>
      <w:pPr>
        <w:pStyle w:val="ListBullet"/>
      </w:pPr>
      <w:r>
        <w:t>Ofrecer acciones consistentes: copiar, ampliar, seleccionar y exportar.</w:t>
      </w:r>
    </w:p>
    <w:p>
      <w:pPr>
        <w:pStyle w:val="ListBullet"/>
      </w:pPr>
      <w:r>
        <w:t>Mantener el proyecto como una extensión independiente y local.</w:t>
      </w:r>
    </w:p>
    <w:p>
      <w:pPr>
        <w:pStyle w:val="ListBullet"/>
      </w:pPr>
      <w:r>
        <w:t>Priorizar Pi 1.0 y Gentle Shell 4.0.0 sin introducir dependencias innecesarias.</w:t>
      </w:r>
    </w:p>
    <w:p>
      <w:pPr>
        <w:pStyle w:val="Heading1"/>
      </w:pPr>
      <w:r>
        <w:t>4. Fuera de alcance</w:t>
      </w:r>
    </w:p>
    <w:p>
      <w:pPr>
        <w:pStyle w:val="ListBullet"/>
      </w:pPr>
      <w:r>
        <w:t>Crear una aplicación web, ventana de escritorio o servicio externo para renderizar el contenido.</w:t>
      </w:r>
    </w:p>
    <w:p>
      <w:pPr>
        <w:pStyle w:val="ListBullet"/>
      </w:pPr>
      <w:r>
        <w:t>Modificar mensajes guardados, el historial de sesión o el núcleo de Pi.</w:t>
      </w:r>
    </w:p>
    <w:p>
      <w:pPr>
        <w:pStyle w:val="ListBullet"/>
      </w:pPr>
      <w:r>
        <w:t>Añadir agentes, MCP, bases de datos o servicios remotos que no sean necesarios.</w:t>
      </w:r>
    </w:p>
    <w:p>
      <w:pPr>
        <w:pStyle w:val="ListBullet"/>
      </w:pPr>
      <w:r>
        <w:t>Prometer botones incrustados en cada bloque del transcript antes de confirmar que la API pública lo permite.</w:t>
      </w:r>
    </w:p>
    <w:p>
      <w:pPr>
        <w:pStyle w:val="ListBullet"/>
      </w:pPr>
      <w:r>
        <w:t>Reformatear automáticamente la fuente copiada por defecto.</w:t>
      </w:r>
    </w:p>
    <w:p>
      <w:pPr>
        <w:pStyle w:val="Heading1"/>
      </w:pPr>
      <w:r>
        <w:t>5. Tipos de contenido y comportamiento</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shd w:fill="D9E9EC"/>
          </w:tcPr>
          <w:p>
            <w:r/>
            <w:r>
              <w:rPr>
                <w:rFonts w:ascii="Aptos" w:hAnsi="Aptos"/>
                <w:b/>
                <w:sz w:val="17"/>
              </w:rPr>
              <w:t>Tipo</w:t>
            </w:r>
          </w:p>
        </w:tc>
        <w:tc>
          <w:tcPr>
            <w:tcW w:type="dxa" w:w="2484"/>
            <w:shd w:fill="D9E9EC"/>
          </w:tcPr>
          <w:p>
            <w:r/>
            <w:r>
              <w:rPr>
                <w:rFonts w:ascii="Aptos" w:hAnsi="Aptos"/>
                <w:b/>
                <w:sz w:val="17"/>
              </w:rPr>
              <w:t>Presentación</w:t>
            </w:r>
          </w:p>
        </w:tc>
        <w:tc>
          <w:tcPr>
            <w:tcW w:type="dxa" w:w="2484"/>
            <w:shd w:fill="D9E9EC"/>
          </w:tcPr>
          <w:p>
            <w:r/>
            <w:r>
              <w:rPr>
                <w:rFonts w:ascii="Aptos" w:hAnsi="Aptos"/>
                <w:b/>
                <w:sz w:val="17"/>
              </w:rPr>
              <w:t>Acciones</w:t>
            </w:r>
          </w:p>
        </w:tc>
        <w:tc>
          <w:tcPr>
            <w:tcW w:type="dxa" w:w="2484"/>
            <w:shd w:fill="D9E9EC"/>
          </w:tcPr>
          <w:p>
            <w:r/>
            <w:r>
              <w:rPr>
                <w:rFonts w:ascii="Aptos" w:hAnsi="Aptos"/>
                <w:b/>
                <w:sz w:val="17"/>
              </w:rPr>
              <w:t>Reglas de copia/exportación</w:t>
            </w:r>
          </w:p>
        </w:tc>
      </w:tr>
      <w:tr>
        <w:tc>
          <w:tcPr>
            <w:tcW w:type="dxa" w:w="2484"/>
          </w:tcPr>
          <w:p>
            <w:r/>
            <w:r>
              <w:rPr>
                <w:rFonts w:ascii="Aptos" w:hAnsi="Aptos"/>
                <w:b w:val="0"/>
                <w:sz w:val="17"/>
              </w:rPr>
              <w:t>Código</w:t>
            </w:r>
          </w:p>
        </w:tc>
        <w:tc>
          <w:tcPr>
            <w:tcW w:type="dxa" w:w="2484"/>
          </w:tcPr>
          <w:p>
            <w:r/>
            <w:r>
              <w:rPr>
                <w:rFonts w:ascii="Aptos" w:hAnsi="Aptos"/>
                <w:b w:val="0"/>
                <w:sz w:val="17"/>
              </w:rPr>
              <w:t>Resaltado sintáctico, lenguaje, líneas y vista ampliada.</w:t>
            </w:r>
          </w:p>
        </w:tc>
        <w:tc>
          <w:tcPr>
            <w:tcW w:type="dxa" w:w="2484"/>
          </w:tcPr>
          <w:p>
            <w:r/>
            <w:r>
              <w:rPr>
                <w:rFonts w:ascii="Aptos" w:hAnsi="Aptos"/>
                <w:b w:val="0"/>
                <w:sz w:val="17"/>
              </w:rPr>
              <w:t>Copiar, ampliar, seleccionar.</w:t>
            </w:r>
          </w:p>
        </w:tc>
        <w:tc>
          <w:tcPr>
            <w:tcW w:type="dxa" w:w="2484"/>
          </w:tcPr>
          <w:p>
            <w:r/>
            <w:r>
              <w:rPr>
                <w:rFonts w:ascii="Aptos" w:hAnsi="Aptos"/>
                <w:b w:val="0"/>
                <w:sz w:val="17"/>
              </w:rPr>
              <w:t>Copiar el contenido interno; excluir fences y decoración.</w:t>
            </w:r>
          </w:p>
        </w:tc>
      </w:tr>
      <w:tr>
        <w:tc>
          <w:tcPr>
            <w:tcW w:type="dxa" w:w="2484"/>
          </w:tcPr>
          <w:p>
            <w:r/>
            <w:r>
              <w:rPr>
                <w:rFonts w:ascii="Aptos" w:hAnsi="Aptos"/>
                <w:b w:val="0"/>
                <w:sz w:val="17"/>
              </w:rPr>
              <w:t>Tablas</w:t>
            </w:r>
          </w:p>
        </w:tc>
        <w:tc>
          <w:tcPr>
            <w:tcW w:type="dxa" w:w="2484"/>
          </w:tcPr>
          <w:p>
            <w:r/>
            <w:r>
              <w:rPr>
                <w:rFonts w:ascii="Aptos" w:hAnsi="Aptos"/>
                <w:b w:val="0"/>
                <w:sz w:val="17"/>
              </w:rPr>
              <w:t>Columnas legibles, alineación y scroll horizontal si hace falta.</w:t>
            </w:r>
          </w:p>
        </w:tc>
        <w:tc>
          <w:tcPr>
            <w:tcW w:type="dxa" w:w="2484"/>
          </w:tcPr>
          <w:p>
            <w:r/>
            <w:r>
              <w:rPr>
                <w:rFonts w:ascii="Aptos" w:hAnsi="Aptos"/>
                <w:b w:val="0"/>
                <w:sz w:val="17"/>
              </w:rPr>
              <w:t>Copiar Markdown, TSV y JSON cuando proceda.</w:t>
            </w:r>
          </w:p>
        </w:tc>
        <w:tc>
          <w:tcPr>
            <w:tcW w:type="dxa" w:w="2484"/>
          </w:tcPr>
          <w:p>
            <w:r/>
            <w:r>
              <w:rPr>
                <w:rFonts w:ascii="Aptos" w:hAnsi="Aptos"/>
                <w:b w:val="0"/>
                <w:sz w:val="17"/>
              </w:rPr>
              <w:t>TSV para hojas de cálculo; conversión JSON solo si es inequívoca.</w:t>
            </w:r>
          </w:p>
        </w:tc>
      </w:tr>
      <w:tr>
        <w:tc>
          <w:tcPr>
            <w:tcW w:type="dxa" w:w="2484"/>
          </w:tcPr>
          <w:p>
            <w:r/>
            <w:r>
              <w:rPr>
                <w:rFonts w:ascii="Aptos" w:hAnsi="Aptos"/>
                <w:b w:val="0"/>
                <w:sz w:val="17"/>
              </w:rPr>
              <w:t>Diffs</w:t>
            </w:r>
          </w:p>
        </w:tc>
        <w:tc>
          <w:tcPr>
            <w:tcW w:type="dxa" w:w="2484"/>
          </w:tcPr>
          <w:p>
            <w:r/>
            <w:r>
              <w:rPr>
                <w:rFonts w:ascii="Aptos" w:hAnsi="Aptos"/>
                <w:b w:val="0"/>
                <w:sz w:val="17"/>
              </w:rPr>
              <w:t>Adiciones y eliminaciones diferenciadas; nombre de archivo cuando exista.</w:t>
            </w:r>
          </w:p>
        </w:tc>
        <w:tc>
          <w:tcPr>
            <w:tcW w:type="dxa" w:w="2484"/>
          </w:tcPr>
          <w:p>
            <w:r/>
            <w:r>
              <w:rPr>
                <w:rFonts w:ascii="Aptos" w:hAnsi="Aptos"/>
                <w:b w:val="0"/>
                <w:sz w:val="17"/>
              </w:rPr>
              <w:t>Copiar diff, ampliar.</w:t>
            </w:r>
          </w:p>
        </w:tc>
        <w:tc>
          <w:tcPr>
            <w:tcW w:type="dxa" w:w="2484"/>
          </w:tcPr>
          <w:p>
            <w:r/>
            <w:r>
              <w:rPr>
                <w:rFonts w:ascii="Aptos" w:hAnsi="Aptos"/>
                <w:b w:val="0"/>
                <w:sz w:val="17"/>
              </w:rPr>
              <w:t>Copiar el diff original sin colores ni controles.</w:t>
            </w:r>
          </w:p>
        </w:tc>
      </w:tr>
      <w:tr>
        <w:tc>
          <w:tcPr>
            <w:tcW w:type="dxa" w:w="2484"/>
          </w:tcPr>
          <w:p>
            <w:r/>
            <w:r>
              <w:rPr>
                <w:rFonts w:ascii="Aptos" w:hAnsi="Aptos"/>
                <w:b w:val="0"/>
                <w:sz w:val="17"/>
              </w:rPr>
              <w:t>JSON/YAML/XML</w:t>
            </w:r>
          </w:p>
        </w:tc>
        <w:tc>
          <w:tcPr>
            <w:tcW w:type="dxa" w:w="2484"/>
          </w:tcPr>
          <w:p>
            <w:r/>
            <w:r>
              <w:rPr>
                <w:rFonts w:ascii="Aptos" w:hAnsi="Aptos"/>
                <w:b w:val="0"/>
                <w:sz w:val="17"/>
              </w:rPr>
              <w:t>Resaltado y vista ampliada; plegado opcional.</w:t>
            </w:r>
          </w:p>
        </w:tc>
        <w:tc>
          <w:tcPr>
            <w:tcW w:type="dxa" w:w="2484"/>
          </w:tcPr>
          <w:p>
            <w:r/>
            <w:r>
              <w:rPr>
                <w:rFonts w:ascii="Aptos" w:hAnsi="Aptos"/>
                <w:b w:val="0"/>
                <w:sz w:val="17"/>
              </w:rPr>
              <w:t>Copiar original, ampliar, formatear opcionalmente.</w:t>
            </w:r>
          </w:p>
        </w:tc>
        <w:tc>
          <w:tcPr>
            <w:tcW w:type="dxa" w:w="2484"/>
          </w:tcPr>
          <w:p>
            <w:r/>
            <w:r>
              <w:rPr>
                <w:rFonts w:ascii="Aptos" w:hAnsi="Aptos"/>
                <w:b w:val="0"/>
                <w:sz w:val="17"/>
              </w:rPr>
              <w:t>La copia original no debe cambiar formato; formateo como acción explícita.</w:t>
            </w:r>
          </w:p>
        </w:tc>
      </w:tr>
      <w:tr>
        <w:tc>
          <w:tcPr>
            <w:tcW w:type="dxa" w:w="2484"/>
          </w:tcPr>
          <w:p>
            <w:r/>
            <w:r>
              <w:rPr>
                <w:rFonts w:ascii="Aptos" w:hAnsi="Aptos"/>
                <w:b w:val="0"/>
                <w:sz w:val="17"/>
              </w:rPr>
              <w:t>Listas/checklists</w:t>
            </w:r>
          </w:p>
        </w:tc>
        <w:tc>
          <w:tcPr>
            <w:tcW w:type="dxa" w:w="2484"/>
          </w:tcPr>
          <w:p>
            <w:r/>
            <w:r>
              <w:rPr>
                <w:rFonts w:ascii="Aptos" w:hAnsi="Aptos"/>
                <w:b w:val="0"/>
                <w:sz w:val="17"/>
              </w:rPr>
              <w:t>Jerarquía e indentación consistentes.</w:t>
            </w:r>
          </w:p>
        </w:tc>
        <w:tc>
          <w:tcPr>
            <w:tcW w:type="dxa" w:w="2484"/>
          </w:tcPr>
          <w:p>
            <w:r/>
            <w:r>
              <w:rPr>
                <w:rFonts w:ascii="Aptos" w:hAnsi="Aptos"/>
                <w:b w:val="0"/>
                <w:sz w:val="17"/>
              </w:rPr>
              <w:t>Copiar Markdown o texto plano.</w:t>
            </w:r>
          </w:p>
        </w:tc>
        <w:tc>
          <w:tcPr>
            <w:tcW w:type="dxa" w:w="2484"/>
          </w:tcPr>
          <w:p>
            <w:r/>
            <w:r>
              <w:rPr>
                <w:rFonts w:ascii="Aptos" w:hAnsi="Aptos"/>
                <w:b w:val="0"/>
                <w:sz w:val="17"/>
              </w:rPr>
              <w:t>Conservar niveles, casillas y orden.</w:t>
            </w:r>
          </w:p>
        </w:tc>
      </w:tr>
      <w:tr>
        <w:tc>
          <w:tcPr>
            <w:tcW w:type="dxa" w:w="2484"/>
          </w:tcPr>
          <w:p>
            <w:r/>
            <w:r>
              <w:rPr>
                <w:rFonts w:ascii="Aptos" w:hAnsi="Aptos"/>
                <w:b w:val="0"/>
                <w:sz w:val="17"/>
              </w:rPr>
              <w:t>Mermaid</w:t>
            </w:r>
          </w:p>
        </w:tc>
        <w:tc>
          <w:tcPr>
            <w:tcW w:type="dxa" w:w="2484"/>
          </w:tcPr>
          <w:p>
            <w:r/>
            <w:r>
              <w:rPr>
                <w:rFonts w:ascii="Aptos" w:hAnsi="Aptos"/>
                <w:b w:val="0"/>
                <w:sz w:val="17"/>
              </w:rPr>
              <w:t>Preview gráfico cuando sea viable; fuente siempre accesible.</w:t>
            </w:r>
          </w:p>
        </w:tc>
        <w:tc>
          <w:tcPr>
            <w:tcW w:type="dxa" w:w="2484"/>
          </w:tcPr>
          <w:p>
            <w:r/>
            <w:r>
              <w:rPr>
                <w:rFonts w:ascii="Aptos" w:hAnsi="Aptos"/>
                <w:b w:val="0"/>
                <w:sz w:val="17"/>
              </w:rPr>
              <w:t>Copiar fuente, ampliar, ver diagrama.</w:t>
            </w:r>
          </w:p>
        </w:tc>
        <w:tc>
          <w:tcPr>
            <w:tcW w:type="dxa" w:w="2484"/>
          </w:tcPr>
          <w:p>
            <w:r/>
            <w:r>
              <w:rPr>
                <w:rFonts w:ascii="Aptos" w:hAnsi="Aptos"/>
                <w:b w:val="0"/>
                <w:sz w:val="17"/>
              </w:rPr>
              <w:t>No bloquear la copia si no hay renderizador gráfico.</w:t>
            </w:r>
          </w:p>
        </w:tc>
      </w:tr>
      <w:tr>
        <w:tc>
          <w:tcPr>
            <w:tcW w:type="dxa" w:w="2484"/>
          </w:tcPr>
          <w:p>
            <w:r/>
            <w:r>
              <w:rPr>
                <w:rFonts w:ascii="Aptos" w:hAnsi="Aptos"/>
                <w:b w:val="0"/>
                <w:sz w:val="17"/>
              </w:rPr>
              <w:t>LaTeX/fórmulas</w:t>
            </w:r>
          </w:p>
        </w:tc>
        <w:tc>
          <w:tcPr>
            <w:tcW w:type="dxa" w:w="2484"/>
          </w:tcPr>
          <w:p>
            <w:r/>
            <w:r>
              <w:rPr>
                <w:rFonts w:ascii="Aptos" w:hAnsi="Aptos"/>
                <w:b w:val="0"/>
                <w:sz w:val="17"/>
              </w:rPr>
              <w:t>Vista legible cuando haya soporte; fuente textual accesible.</w:t>
            </w:r>
          </w:p>
        </w:tc>
        <w:tc>
          <w:tcPr>
            <w:tcW w:type="dxa" w:w="2484"/>
          </w:tcPr>
          <w:p>
            <w:r/>
            <w:r>
              <w:rPr>
                <w:rFonts w:ascii="Aptos" w:hAnsi="Aptos"/>
                <w:b w:val="0"/>
                <w:sz w:val="17"/>
              </w:rPr>
              <w:t>Copiar fuente, ampliar.</w:t>
            </w:r>
          </w:p>
        </w:tc>
        <w:tc>
          <w:tcPr>
            <w:tcW w:type="dxa" w:w="2484"/>
          </w:tcPr>
          <w:p>
            <w:r/>
            <w:r>
              <w:rPr>
                <w:rFonts w:ascii="Aptos" w:hAnsi="Aptos"/>
                <w:b w:val="0"/>
                <w:sz w:val="17"/>
              </w:rPr>
              <w:t>Conservar sintaxis y delimitadores según el modo elegido.</w:t>
            </w:r>
          </w:p>
        </w:tc>
      </w:tr>
      <w:tr>
        <w:tc>
          <w:tcPr>
            <w:tcW w:type="dxa" w:w="2484"/>
          </w:tcPr>
          <w:p>
            <w:r/>
            <w:r>
              <w:rPr>
                <w:rFonts w:ascii="Aptos" w:hAnsi="Aptos"/>
                <w:b w:val="0"/>
                <w:sz w:val="17"/>
              </w:rPr>
              <w:t>Texto estructurado</w:t>
            </w:r>
          </w:p>
        </w:tc>
        <w:tc>
          <w:tcPr>
            <w:tcW w:type="dxa" w:w="2484"/>
          </w:tcPr>
          <w:p>
            <w:r/>
            <w:r>
              <w:rPr>
                <w:rFonts w:ascii="Aptos" w:hAnsi="Aptos"/>
                <w:b w:val="0"/>
                <w:sz w:val="17"/>
              </w:rPr>
              <w:t>Títulos, citas, enlaces y listas con jerarquía clara.</w:t>
            </w:r>
          </w:p>
        </w:tc>
        <w:tc>
          <w:tcPr>
            <w:tcW w:type="dxa" w:w="2484"/>
          </w:tcPr>
          <w:p>
            <w:r/>
            <w:r>
              <w:rPr>
                <w:rFonts w:ascii="Aptos" w:hAnsi="Aptos"/>
                <w:b w:val="0"/>
                <w:sz w:val="17"/>
              </w:rPr>
              <w:t>Copiar Markdown o texto plano.</w:t>
            </w:r>
          </w:p>
        </w:tc>
        <w:tc>
          <w:tcPr>
            <w:tcW w:type="dxa" w:w="2484"/>
          </w:tcPr>
          <w:p>
            <w:r/>
            <w:r>
              <w:rPr>
                <w:rFonts w:ascii="Aptos" w:hAnsi="Aptos"/>
                <w:b w:val="0"/>
                <w:sz w:val="17"/>
              </w:rPr>
              <w:t>No reescribir el contenido original.</w:t>
            </w:r>
          </w:p>
        </w:tc>
      </w:tr>
    </w:tbl>
    <w:p>
      <w:pPr>
        <w:pStyle w:val="Heading1"/>
      </w:pPr>
      <w:r>
        <w:t>6. Experiencia de usuario</w:t>
      </w:r>
    </w:p>
    <w:p>
      <w:pPr>
        <w:pStyle w:val="Heading2"/>
      </w:pPr>
      <w:r>
        <w:t>6.1 Principios visuales</w:t>
      </w:r>
    </w:p>
    <w:p>
      <w:pPr>
        <w:pStyle w:val="ListBullet"/>
      </w:pPr>
      <w:r>
        <w:t>Diseño nativo de terminal, compacto y legible, compatible con los temas de Pi.</w:t>
      </w:r>
    </w:p>
    <w:p>
      <w:pPr>
        <w:pStyle w:val="ListBullet"/>
      </w:pPr>
      <w:r>
        <w:t>Bordes y colores solo como elementos visuales; nunca como parte de la fuente.</w:t>
      </w:r>
    </w:p>
    <w:p>
      <w:pPr>
        <w:pStyle w:val="ListBullet"/>
      </w:pPr>
      <w:r>
        <w:t>Soporte para contenido largo, wrapping, scroll y ancho variable de terminal.</w:t>
      </w:r>
    </w:p>
    <w:p>
      <w:pPr>
        <w:pStyle w:val="ListBullet"/>
      </w:pPr>
      <w:r>
        <w:t>Metadatos discretos: tipo de contenido, lenguaje, cantidad de líneas o dimensiones cuando estén disponibles.</w:t>
      </w:r>
    </w:p>
    <w:p>
      <w:pPr>
        <w:pStyle w:val="ListBullet"/>
      </w:pPr>
      <w:r>
        <w:t>Acciones y atajos consistentes entre todos los renderizadores.</w:t>
      </w:r>
    </w:p>
    <w:p>
      <w:pPr>
        <w:pStyle w:val="Heading2"/>
      </w:pPr>
      <w:r>
        <w:t>6.2 Acciones comunes</w:t>
      </w:r>
    </w:p>
    <w:p>
      <w:pPr>
        <w:pStyle w:val="ListBullet"/>
      </w:pPr>
      <w:r>
        <w:t>Copiar: copia el contenido semántico al portapapeles del sistema.</w:t>
      </w:r>
    </w:p>
    <w:p>
      <w:pPr>
        <w:pStyle w:val="ListBullet"/>
      </w:pPr>
      <w:r>
        <w:t>Ampliar: abre una vista temporal dentro de la TUI para leer bloques extensos.</w:t>
      </w:r>
    </w:p>
    <w:p>
      <w:pPr>
        <w:pStyle w:val="ListBullet"/>
      </w:pPr>
      <w:r>
        <w:t>Seleccionar: permite elegir entre varios bloques de un mismo mensaje.</w:t>
      </w:r>
    </w:p>
    <w:p>
      <w:pPr>
        <w:pStyle w:val="ListBullet"/>
      </w:pPr>
      <w:r>
        <w:t>Exportar: ofrece formatos alternativos solo cuando la conversión sea segura y comprensible.</w:t>
      </w:r>
    </w:p>
    <w:p>
      <w:pPr>
        <w:pStyle w:val="ListBullet"/>
      </w:pPr>
      <w:r>
        <w:t>Notificar: muestra éxito solo cuando la operación de portapapeles haya funcionado; presenta errores reales si falla.</w:t>
      </w:r>
    </w:p>
    <w:p>
      <w:pPr>
        <w:pStyle w:val="Heading2"/>
      </w:pPr>
      <w:r>
        <w:t>6.3 Comandos propuestos</w:t>
      </w:r>
    </w:p>
    <w:tbl>
      <w:tblPr>
        <w:tblStyle w:val="LightShading-Accent1"/>
        <w:tblW w:type="auto" w:w="0"/>
        <w:tblLook w:firstColumn="1" w:firstRow="1" w:lastColumn="0" w:lastRow="0" w:noHBand="0" w:noVBand="1" w:val="04A0"/>
      </w:tblPr>
      <w:tblGrid>
        <w:gridCol w:w="4968"/>
        <w:gridCol w:w="4968"/>
      </w:tblGrid>
      <w:tr>
        <w:tc>
          <w:tcPr>
            <w:tcW w:type="dxa" w:w="4968"/>
            <w:shd w:fill="D9E9EC"/>
          </w:tcPr>
          <w:p>
            <w:r/>
            <w:r>
              <w:rPr>
                <w:rFonts w:ascii="Aptos" w:hAnsi="Aptos"/>
                <w:b/>
                <w:sz w:val="17"/>
              </w:rPr>
              <w:t>Comando</w:t>
            </w:r>
          </w:p>
        </w:tc>
        <w:tc>
          <w:tcPr>
            <w:tcW w:type="dxa" w:w="4968"/>
            <w:shd w:fill="D9E9EC"/>
          </w:tcPr>
          <w:p>
            <w:r/>
            <w:r>
              <w:rPr>
                <w:rFonts w:ascii="Aptos" w:hAnsi="Aptos"/>
                <w:b/>
                <w:sz w:val="17"/>
              </w:rPr>
              <w:t>Comportamiento esperado</w:t>
            </w:r>
          </w:p>
        </w:tc>
      </w:tr>
      <w:tr>
        <w:tc>
          <w:tcPr>
            <w:tcW w:type="dxa" w:w="4968"/>
          </w:tcPr>
          <w:p>
            <w:r/>
            <w:r>
              <w:rPr>
                <w:rFonts w:ascii="Aptos" w:hAnsi="Aptos"/>
                <w:b/>
                <w:sz w:val="17"/>
              </w:rPr>
              <w:t>/rich</w:t>
            </w:r>
          </w:p>
        </w:tc>
        <w:tc>
          <w:tcPr>
            <w:tcW w:type="dxa" w:w="4968"/>
          </w:tcPr>
          <w:p>
            <w:r/>
            <w:r>
              <w:rPr>
                <w:rFonts w:ascii="Aptos" w:hAnsi="Aptos"/>
                <w:b w:val="0"/>
                <w:sz w:val="17"/>
              </w:rPr>
              <w:t>Mostrar ayuda y acciones disponibles.</w:t>
            </w:r>
          </w:p>
        </w:tc>
      </w:tr>
      <w:tr>
        <w:tc>
          <w:tcPr>
            <w:tcW w:type="dxa" w:w="4968"/>
          </w:tcPr>
          <w:p>
            <w:r/>
            <w:r>
              <w:rPr>
                <w:rFonts w:ascii="Aptos" w:hAnsi="Aptos"/>
                <w:b/>
                <w:sz w:val="17"/>
              </w:rPr>
              <w:t>/rich copy</w:t>
            </w:r>
          </w:p>
        </w:tc>
        <w:tc>
          <w:tcPr>
            <w:tcW w:type="dxa" w:w="4968"/>
          </w:tcPr>
          <w:p>
            <w:r/>
            <w:r>
              <w:rPr>
                <w:rFonts w:ascii="Aptos" w:hAnsi="Aptos"/>
                <w:b w:val="0"/>
                <w:sz w:val="17"/>
              </w:rPr>
              <w:t>Abrir selector para elegir un bloque copiable.</w:t>
            </w:r>
          </w:p>
        </w:tc>
      </w:tr>
      <w:tr>
        <w:tc>
          <w:tcPr>
            <w:tcW w:type="dxa" w:w="4968"/>
          </w:tcPr>
          <w:p>
            <w:r/>
            <w:r>
              <w:rPr>
                <w:rFonts w:ascii="Aptos" w:hAnsi="Aptos"/>
                <w:b/>
                <w:sz w:val="17"/>
              </w:rPr>
              <w:t>/rich last</w:t>
            </w:r>
          </w:p>
        </w:tc>
        <w:tc>
          <w:tcPr>
            <w:tcW w:type="dxa" w:w="4968"/>
          </w:tcPr>
          <w:p>
            <w:r/>
            <w:r>
              <w:rPr>
                <w:rFonts w:ascii="Aptos" w:hAnsi="Aptos"/>
                <w:b w:val="0"/>
                <w:sz w:val="17"/>
              </w:rPr>
              <w:t>Copiar el último bloque compatible si se identifica sin ambigüedad.</w:t>
            </w:r>
          </w:p>
        </w:tc>
      </w:tr>
      <w:tr>
        <w:tc>
          <w:tcPr>
            <w:tcW w:type="dxa" w:w="4968"/>
          </w:tcPr>
          <w:p>
            <w:r/>
            <w:r>
              <w:rPr>
                <w:rFonts w:ascii="Aptos" w:hAnsi="Aptos"/>
                <w:b/>
                <w:sz w:val="17"/>
              </w:rPr>
              <w:t>/rich list</w:t>
            </w:r>
          </w:p>
        </w:tc>
        <w:tc>
          <w:tcPr>
            <w:tcW w:type="dxa" w:w="4968"/>
          </w:tcPr>
          <w:p>
            <w:r/>
            <w:r>
              <w:rPr>
                <w:rFonts w:ascii="Aptos" w:hAnsi="Aptos"/>
                <w:b w:val="0"/>
                <w:sz w:val="17"/>
              </w:rPr>
              <w:t>Enumerar los bloques detectados en el contexto disponible.</w:t>
            </w:r>
          </w:p>
        </w:tc>
      </w:tr>
      <w:tr>
        <w:tc>
          <w:tcPr>
            <w:tcW w:type="dxa" w:w="4968"/>
          </w:tcPr>
          <w:p>
            <w:r/>
            <w:r>
              <w:rPr>
                <w:rFonts w:ascii="Aptos" w:hAnsi="Aptos"/>
                <w:b/>
                <w:sz w:val="17"/>
              </w:rPr>
              <w:t>/rich view</w:t>
            </w:r>
          </w:p>
        </w:tc>
        <w:tc>
          <w:tcPr>
            <w:tcW w:type="dxa" w:w="4968"/>
          </w:tcPr>
          <w:p>
            <w:r/>
            <w:r>
              <w:rPr>
                <w:rFonts w:ascii="Aptos" w:hAnsi="Aptos"/>
                <w:b w:val="0"/>
                <w:sz w:val="17"/>
              </w:rPr>
              <w:t>Abrir una vista ampliada del bloque seleccionado.</w:t>
            </w:r>
          </w:p>
        </w:tc>
      </w:tr>
    </w:tbl>
    <w:p>
      <w:r>
        <w:t>Los comandos son una propuesta de UX. Antes de fijarlos, confirmar la sintaxis y el mecanismo de registro que admite la API de extensiones de Pi.</w:t>
      </w:r>
    </w:p>
    <w:p>
      <w:pPr>
        <w:pStyle w:val="Heading1"/>
      </w:pPr>
      <w:r>
        <w:t>7. Arquitectura lógica</w:t>
      </w:r>
    </w:p>
    <w:p>
      <w:pPr>
        <w:pStyle w:val="ListBullet"/>
      </w:pPr>
      <w:r>
        <w:t>Extension entrypoint: registra comandos, acciones, configuración y eventos soportados por Pi.</w:t>
      </w:r>
    </w:p>
    <w:p>
      <w:pPr>
        <w:pStyle w:val="ListBullet"/>
      </w:pPr>
      <w:r>
        <w:t>Context/session reader: obtiene los mensajes o bloques accesibles mediante APIs públicas y respeta la rama activa.</w:t>
      </w:r>
    </w:p>
    <w:p>
      <w:pPr>
        <w:pStyle w:val="ListBullet"/>
      </w:pPr>
      <w:r>
        <w:t>Parser: identifica bloques Markdown sin reconstruirlos desde el texto ya dibujado en la terminal.</w:t>
      </w:r>
    </w:p>
    <w:p>
      <w:pPr>
        <w:pStyle w:val="ListBullet"/>
      </w:pPr>
      <w:r>
        <w:t>Modelo de contenido: almacena tipo, fuente original, lenguaje/metadatos, posición y capacidades disponibles.</w:t>
      </w:r>
    </w:p>
    <w:p>
      <w:pPr>
        <w:pStyle w:val="ListBullet"/>
      </w:pPr>
      <w:r>
        <w:t>Registry de renderizadores: delega cada tipo de bloque al componente especializado.</w:t>
      </w:r>
    </w:p>
    <w:p>
      <w:pPr>
        <w:pStyle w:val="ListBullet"/>
      </w:pPr>
      <w:r>
        <w:t>Action layer: implementa copiar, ampliar, seleccionar y exportar con comportamiento común.</w:t>
      </w:r>
    </w:p>
    <w:p>
      <w:pPr>
        <w:pStyle w:val="ListBullet"/>
      </w:pPr>
      <w:r>
        <w:t>Clipboard adapter: encapsula el mecanismo de portapapeles de Windows y propaga errores reales.</w:t>
      </w:r>
    </w:p>
    <w:p>
      <w:pPr>
        <w:pStyle w:val="ListBullet"/>
      </w:pPr>
      <w:r>
        <w:t>Tests: verifican extracción, fidelidad, selección, conversión de tablas y errores del portapapeles.</w:t>
      </w:r>
    </w:p>
    <w:p>
      <w:pPr>
        <w:pStyle w:val="Heading1"/>
      </w:pPr>
      <w:r>
        <w:t>8. Modelo conceptual de bloque</w:t>
      </w:r>
    </w:p>
    <w:p>
      <w:pPr>
        <w:shd w:fill="F2F5F7"/>
      </w:pPr>
      <w:r>
        <w:rPr>
          <w:rFonts w:ascii="Consolas" w:hAnsi="Consolas"/>
          <w:sz w:val="18"/>
        </w:rPr>
        <w:t>type RichBlock = {</w:t>
        <w:br/>
        <w:t xml:space="preserve">  id: string;</w:t>
        <w:br/>
        <w:t xml:space="preserve">  kind: "code" | "table" | "diff" | "json" | "yaml" | "xml"</w:t>
        <w:br/>
        <w:t xml:space="preserve">      | "list" | "mermaid" | "math" | "text";</w:t>
        <w:br/>
        <w:t xml:space="preserve">  source: string;          // fuente original, no texto dibujado</w:t>
        <w:br/>
        <w:t xml:space="preserve">  language?: string;</w:t>
        <w:br/>
        <w:t xml:space="preserve">  title?: string;</w:t>
        <w:br/>
        <w:t xml:space="preserve">  sourceMessageId?: string;</w:t>
        <w:br/>
        <w:t xml:space="preserve">  ordinal: number;</w:t>
        <w:br/>
        <w:t xml:space="preserve">  capabilities: {</w:t>
        <w:br/>
        <w:t xml:space="preserve">    copy: boolean;</w:t>
        <w:br/>
        <w:t xml:space="preserve">    expand: boolean;</w:t>
        <w:br/>
        <w:t xml:space="preserve">    exportFormats: string[];</w:t>
        <w:br/>
        <w:t xml:space="preserve">    renderPreview: boolean;</w:t>
        <w:br/>
        <w:t xml:space="preserve">  };</w:t>
        <w:br/>
        <w:t>};</w:t>
      </w:r>
    </w:p>
    <w:p>
      <w:pPr>
        <w:pStyle w:val="Heading1"/>
      </w:pPr>
      <w:r>
        <w:t>9. Reglas de fidelidad</w:t>
      </w:r>
    </w:p>
    <w:p>
      <w:pPr>
        <w:pStyle w:val="ListBullet"/>
      </w:pPr>
      <w:r>
        <w:t>La fuente original siempre se conserva separada del renderizado.</w:t>
      </w:r>
    </w:p>
    <w:p>
      <w:pPr>
        <w:pStyle w:val="ListBullet"/>
      </w:pPr>
      <w:r>
        <w:t>No copiar desde la pantalla ni intentar quitar bordes mediante heurísticas.</w:t>
      </w:r>
    </w:p>
    <w:p>
      <w:pPr>
        <w:pStyle w:val="ListBullet"/>
      </w:pPr>
      <w:r>
        <w:t>Conservar espacios iniciales, líneas vacías, Unicode y saltos de línea internos.</w:t>
      </w:r>
    </w:p>
    <w:p>
      <w:pPr>
        <w:pStyle w:val="ListBullet"/>
      </w:pPr>
      <w:r>
        <w:t>En «copiar fuente», excluir únicamente los fences externos del bloque Markdown; conservar su contenido interno.</w:t>
      </w:r>
    </w:p>
    <w:p>
      <w:pPr>
        <w:pStyle w:val="ListBullet"/>
      </w:pPr>
      <w:r>
        <w:t>Para tablas, distinguir entre fuente Markdown y exportación de datos TSV/JSON.</w:t>
      </w:r>
    </w:p>
    <w:p>
      <w:pPr>
        <w:pStyle w:val="ListBullet"/>
      </w:pPr>
      <w:r>
        <w:t>No convertir tablas a JSON silenciosamente ni inventar nombres de propiedades.</w:t>
      </w:r>
    </w:p>
    <w:p>
      <w:pPr>
        <w:pStyle w:val="ListBullet"/>
      </w:pPr>
      <w:r>
        <w:t>Mantener accesible la fuente Mermaid/LaTeX incluso si el preview no se puede generar.</w:t>
      </w:r>
    </w:p>
    <w:p>
      <w:pPr>
        <w:pStyle w:val="ListBullet"/>
      </w:pPr>
      <w:r>
        <w:t>Si no se puede identificar el bloque con seguridad, pedir selección o informar del problema; no copiar un fragmento aproximado.</w:t>
      </w:r>
    </w:p>
    <w:p>
      <w:pPr>
        <w:pStyle w:val="Heading1"/>
      </w:pPr>
      <w:r>
        <w:t>10. Requisitos no funcionales</w:t>
      </w:r>
    </w:p>
    <w:p>
      <w:pPr>
        <w:pStyle w:val="ListBullet"/>
      </w:pPr>
      <w:r>
        <w:t>Rendimiento: evitar reprocesar todo el historial en cada actualización sin necesidad.</w:t>
      </w:r>
    </w:p>
    <w:p>
      <w:pPr>
        <w:pStyle w:val="ListBullet"/>
      </w:pPr>
      <w:r>
        <w:t>Robustez: manejar fences sin lenguaje, bloques vacíos, fences de backticks o tildes y contenido con delimitadores internos.</w:t>
      </w:r>
    </w:p>
    <w:p>
      <w:pPr>
        <w:pStyle w:val="ListBullet"/>
      </w:pPr>
      <w:r>
        <w:t>Teclado: navegación y foco claros; los comandos deben servir como alternativa a controles visuales.</w:t>
      </w:r>
    </w:p>
    <w:p>
      <w:pPr>
        <w:pStyle w:val="ListBullet"/>
      </w:pPr>
      <w:r>
        <w:t>Mantenibilidad: módulos pequeños y separación entre extracción, renderizado, exportación y clipboard.</w:t>
      </w:r>
    </w:p>
    <w:p>
      <w:pPr>
        <w:pStyle w:val="ListBullet"/>
      </w:pPr>
      <w:r>
        <w:t>Privacidad: procesar el contenido localmente, sin enviarlo a servicios externos.</w:t>
      </w:r>
    </w:p>
    <w:p>
      <w:pPr>
        <w:pStyle w:val="ListBullet"/>
      </w:pPr>
      <w:r>
        <w:t>Integración: no parchear el núcleo ni modificar archivos administrados por Gentle Shell.</w:t>
      </w:r>
    </w:p>
    <w:p>
      <w:pPr>
        <w:pStyle w:val="Heading1"/>
      </w:pPr>
      <w:r>
        <w:t>11. Criterios de aceptación</w:t>
      </w:r>
    </w:p>
    <w:p>
      <w:pPr>
        <w:pStyle w:val="ListBullet"/>
      </w:pPr>
      <w:r>
        <w:t>Código SQL, TypeScript, Bash o C# se copia sin bordes de TUI, numeración decorativa ni fences Markdown.</w:t>
      </w:r>
    </w:p>
    <w:p>
      <w:pPr>
        <w:pStyle w:val="ListBullet"/>
      </w:pPr>
      <w:r>
        <w:t>La copia conserva indentación, líneas vacías y saltos de línea internos.</w:t>
      </w:r>
    </w:p>
    <w:p>
      <w:pPr>
        <w:pStyle w:val="ListBullet"/>
      </w:pPr>
      <w:r>
        <w:t>Un mensaje con varios bloques permite seleccionar el bloque correcto.</w:t>
      </w:r>
    </w:p>
    <w:p>
      <w:pPr>
        <w:pStyle w:val="ListBullet"/>
      </w:pPr>
      <w:r>
        <w:t>Las tablas se pueden copiar como Markdown y TSV; JSON aparece cuando la conversión es clara.</w:t>
      </w:r>
    </w:p>
    <w:p>
      <w:pPr>
        <w:pStyle w:val="ListBullet"/>
      </w:pPr>
      <w:r>
        <w:t>Los diffs se copian sin colores ni decoración añadida.</w:t>
      </w:r>
    </w:p>
    <w:p>
      <w:pPr>
        <w:pStyle w:val="ListBullet"/>
      </w:pPr>
      <w:r>
        <w:t>JSON/YAML/XML se muestran de forma legible y la copia original conserva su formato.</w:t>
      </w:r>
    </w:p>
    <w:p>
      <w:pPr>
        <w:pStyle w:val="ListBullet"/>
      </w:pPr>
      <w:r>
        <w:t>La fuente y cualquier versión formateada son opciones separadas.</w:t>
      </w:r>
    </w:p>
    <w:p>
      <w:pPr>
        <w:pStyle w:val="ListBullet"/>
      </w:pPr>
      <w:r>
        <w:t>Mermaid/LaTeX mantienen una opción de copia de fuente aunque falle el preview.</w:t>
      </w:r>
    </w:p>
    <w:p>
      <w:pPr>
        <w:pStyle w:val="ListBullet"/>
      </w:pPr>
      <w:r>
        <w:t>El portapapeles confirma éxito real y presenta errores útiles.</w:t>
      </w:r>
    </w:p>
    <w:p>
      <w:pPr>
        <w:pStyle w:val="ListBullet"/>
      </w:pPr>
      <w:r>
        <w:t>La extensión no modifica mensajes, historial ni archivos de Pi/Gentle Shell.</w:t>
      </w:r>
    </w:p>
    <w:p>
      <w:pPr>
        <w:pStyle w:val="ListBullet"/>
      </w:pPr>
      <w:r>
        <w:t>Los tests cubren Unicode, múltiples bloques, líneas vacías, indentación, fences alternativos y tablas.</w:t>
      </w:r>
    </w:p>
    <w:p>
      <w:pPr>
        <w:pStyle w:val="Heading1"/>
      </w:pPr>
      <w:r>
        <w:t>12. Plan de implementación</w:t>
      </w:r>
    </w:p>
    <w:p>
      <w:pPr>
        <w:pStyle w:val="Heading2"/>
      </w:pPr>
      <w:r>
        <w:t>Fase 1 — Esqueleto e integración</w:t>
      </w:r>
    </w:p>
    <w:p>
      <w:r>
        <w:t>Crear el proyecto TypeScript, cargar una extensión mínima en el entorno objetivo y confirmar las APIs públicas de contexto, comandos y UI.</w:t>
      </w:r>
    </w:p>
    <w:p>
      <w:pPr>
        <w:pStyle w:val="Heading2"/>
      </w:pPr>
      <w:r>
        <w:t>Fase 2 — Extracción y copia</w:t>
      </w:r>
    </w:p>
    <w:p>
      <w:r>
        <w:t>Crear el modelo de bloques, extractor de código, selector básico, adaptador de portapapeles y tests de fidelidad.</w:t>
      </w:r>
    </w:p>
    <w:p>
      <w:pPr>
        <w:pStyle w:val="Heading2"/>
      </w:pPr>
      <w:r>
        <w:t>Fase 3 — Tablas</w:t>
      </w:r>
    </w:p>
    <w:p>
      <w:r>
        <w:t>Detectar tablas Markdown y ofrecer copia Markdown y TSV; agregar JSON solo cuando los encabezados y filas se puedan interpretar con seguridad.</w:t>
      </w:r>
    </w:p>
    <w:p>
      <w:pPr>
        <w:pStyle w:val="Heading2"/>
      </w:pPr>
      <w:r>
        <w:t>Fase 4 — Formatos restantes</w:t>
      </w:r>
    </w:p>
    <w:p>
      <w:r>
        <w:t>Añadir diffs, JSON/YAML/XML, listas, Mermaid y LaTeX en orden de prioridad.</w:t>
      </w:r>
    </w:p>
    <w:p>
      <w:pPr>
        <w:pStyle w:val="Heading2"/>
      </w:pPr>
      <w:r>
        <w:t>Fase 5 — Vista ampliada</w:t>
      </w:r>
    </w:p>
    <w:p>
      <w:r>
        <w:t>Implementar una vista temporal propia dentro de la TUI si la API lo permite; mejorar navegación, scroll y accesibilidad.</w:t>
      </w:r>
    </w:p>
    <w:p>
      <w:pPr>
        <w:pStyle w:val="Heading2"/>
      </w:pPr>
      <w:r>
        <w:t>Fase 6 — Empaquetado</w:t>
      </w:r>
    </w:p>
    <w:p>
      <w:r>
        <w:t>Documentar instalación, comandos, configuración, limitaciones y pruebas reproducibles.</w:t>
      </w:r>
    </w:p>
    <w:p>
      <w:pPr>
        <w:pStyle w:val="Heading1"/>
      </w:pPr>
      <w:r>
        <w:t>13. Riesgos y mitigaciones</w:t>
      </w:r>
    </w:p>
    <w:tbl>
      <w:tblPr>
        <w:tblStyle w:val="LightShading-Accent1"/>
        <w:tblW w:type="auto" w:w="0"/>
        <w:tblLook w:firstColumn="1" w:firstRow="1" w:lastColumn="0" w:lastRow="0" w:noHBand="0" w:noVBand="1" w:val="04A0"/>
      </w:tblPr>
      <w:tblGrid>
        <w:gridCol w:w="4968"/>
        <w:gridCol w:w="4968"/>
      </w:tblGrid>
      <w:tr>
        <w:tc>
          <w:tcPr>
            <w:tcW w:type="dxa" w:w="4968"/>
            <w:shd w:fill="D9E9EC"/>
          </w:tcPr>
          <w:p>
            <w:r/>
            <w:r>
              <w:rPr>
                <w:rFonts w:ascii="Aptos" w:hAnsi="Aptos"/>
                <w:b/>
                <w:sz w:val="17"/>
              </w:rPr>
              <w:t>Riesgo</w:t>
            </w:r>
          </w:p>
        </w:tc>
        <w:tc>
          <w:tcPr>
            <w:tcW w:type="dxa" w:w="4968"/>
            <w:shd w:fill="D9E9EC"/>
          </w:tcPr>
          <w:p>
            <w:r/>
            <w:r>
              <w:rPr>
                <w:rFonts w:ascii="Aptos" w:hAnsi="Aptos"/>
                <w:b/>
                <w:sz w:val="17"/>
              </w:rPr>
              <w:t>Mitigación</w:t>
            </w:r>
          </w:p>
        </w:tc>
      </w:tr>
      <w:tr>
        <w:tc>
          <w:tcPr>
            <w:tcW w:type="dxa" w:w="4968"/>
          </w:tcPr>
          <w:p>
            <w:r/>
            <w:r>
              <w:rPr>
                <w:rFonts w:ascii="Aptos" w:hAnsi="Aptos"/>
                <w:b/>
                <w:sz w:val="17"/>
              </w:rPr>
              <w:t>No existe API para reemplazar el renderer del transcript</w:t>
            </w:r>
          </w:p>
        </w:tc>
        <w:tc>
          <w:tcPr>
            <w:tcW w:type="dxa" w:w="4968"/>
          </w:tcPr>
          <w:p>
            <w:r/>
            <w:r>
              <w:rPr>
                <w:rFonts w:ascii="Aptos" w:hAnsi="Aptos"/>
                <w:b w:val="0"/>
                <w:sz w:val="17"/>
              </w:rPr>
              <w:t>No asumir que se pueden incrustar botones en cada bloque. Usar comandos y una vista propia dentro de la TUI.</w:t>
            </w:r>
          </w:p>
        </w:tc>
      </w:tr>
      <w:tr>
        <w:tc>
          <w:tcPr>
            <w:tcW w:type="dxa" w:w="4968"/>
          </w:tcPr>
          <w:p>
            <w:r/>
            <w:r>
              <w:rPr>
                <w:rFonts w:ascii="Aptos" w:hAnsi="Aptos"/>
                <w:b/>
                <w:sz w:val="17"/>
              </w:rPr>
              <w:t>Acceso limitado al historial</w:t>
            </w:r>
          </w:p>
        </w:tc>
        <w:tc>
          <w:tcPr>
            <w:tcW w:type="dxa" w:w="4968"/>
          </w:tcPr>
          <w:p>
            <w:r/>
            <w:r>
              <w:rPr>
                <w:rFonts w:ascii="Aptos" w:hAnsi="Aptos"/>
                <w:b w:val="0"/>
                <w:sz w:val="17"/>
              </w:rPr>
              <w:t>Usar solo interfaces documentadas y limitar la selección al contexto accesible.</w:t>
            </w:r>
          </w:p>
        </w:tc>
      </w:tr>
      <w:tr>
        <w:tc>
          <w:tcPr>
            <w:tcW w:type="dxa" w:w="4968"/>
          </w:tcPr>
          <w:p>
            <w:r/>
            <w:r>
              <w:rPr>
                <w:rFonts w:ascii="Aptos" w:hAnsi="Aptos"/>
                <w:b/>
                <w:sz w:val="17"/>
              </w:rPr>
              <w:t>Copia contaminada por decoración</w:t>
            </w:r>
          </w:p>
        </w:tc>
        <w:tc>
          <w:tcPr>
            <w:tcW w:type="dxa" w:w="4968"/>
          </w:tcPr>
          <w:p>
            <w:r/>
            <w:r>
              <w:rPr>
                <w:rFonts w:ascii="Aptos" w:hAnsi="Aptos"/>
                <w:b w:val="0"/>
                <w:sz w:val="17"/>
              </w:rPr>
              <w:t>Copiar siempre desde la fuente semántica, nunca desde el texto renderizado.</w:t>
            </w:r>
          </w:p>
        </w:tc>
      </w:tr>
      <w:tr>
        <w:tc>
          <w:tcPr>
            <w:tcW w:type="dxa" w:w="4968"/>
          </w:tcPr>
          <w:p>
            <w:r/>
            <w:r>
              <w:rPr>
                <w:rFonts w:ascii="Aptos" w:hAnsi="Aptos"/>
                <w:b/>
                <w:sz w:val="17"/>
              </w:rPr>
              <w:t>Conversión ambigua de tablas</w:t>
            </w:r>
          </w:p>
        </w:tc>
        <w:tc>
          <w:tcPr>
            <w:tcW w:type="dxa" w:w="4968"/>
          </w:tcPr>
          <w:p>
            <w:r/>
            <w:r>
              <w:rPr>
                <w:rFonts w:ascii="Aptos" w:hAnsi="Aptos"/>
                <w:b w:val="0"/>
                <w:sz w:val="17"/>
              </w:rPr>
              <w:t>Mantener Markdown como fuente y ofrecer TSV/JSON como acciones separadas.</w:t>
            </w:r>
          </w:p>
        </w:tc>
      </w:tr>
      <w:tr>
        <w:tc>
          <w:tcPr>
            <w:tcW w:type="dxa" w:w="4968"/>
          </w:tcPr>
          <w:p>
            <w:r/>
            <w:r>
              <w:rPr>
                <w:rFonts w:ascii="Aptos" w:hAnsi="Aptos"/>
                <w:b/>
                <w:sz w:val="17"/>
              </w:rPr>
              <w:t>Fallo del portapapeles</w:t>
            </w:r>
          </w:p>
        </w:tc>
        <w:tc>
          <w:tcPr>
            <w:tcW w:type="dxa" w:w="4968"/>
          </w:tcPr>
          <w:p>
            <w:r/>
            <w:r>
              <w:rPr>
                <w:rFonts w:ascii="Aptos" w:hAnsi="Aptos"/>
                <w:b w:val="0"/>
                <w:sz w:val="17"/>
              </w:rPr>
              <w:t>Aislar la integración en un adaptador y mostrar el error real.</w:t>
            </w:r>
          </w:p>
        </w:tc>
      </w:tr>
      <w:tr>
        <w:tc>
          <w:tcPr>
            <w:tcW w:type="dxa" w:w="4968"/>
          </w:tcPr>
          <w:p>
            <w:r/>
            <w:r>
              <w:rPr>
                <w:rFonts w:ascii="Aptos" w:hAnsi="Aptos"/>
                <w:b/>
                <w:sz w:val="17"/>
              </w:rPr>
              <w:t>Cambios futuros en Pi</w:t>
            </w:r>
          </w:p>
        </w:tc>
        <w:tc>
          <w:tcPr>
            <w:tcW w:type="dxa" w:w="4968"/>
          </w:tcPr>
          <w:p>
            <w:r/>
            <w:r>
              <w:rPr>
                <w:rFonts w:ascii="Aptos" w:hAnsi="Aptos"/>
                <w:b w:val="0"/>
                <w:sz w:val="17"/>
              </w:rPr>
              <w:t>Concentrar dependencias de API en un módulo y evitar interfaces internas inestables.</w:t>
            </w:r>
          </w:p>
        </w:tc>
      </w:tr>
    </w:tbl>
    <w:p>
      <w:pPr>
        <w:pStyle w:val="Heading1"/>
      </w:pPr>
      <w:r>
        <w:t>14. Decisiones de diseño propuestas</w:t>
      </w:r>
    </w:p>
    <w:p>
      <w:pPr>
        <w:pStyle w:val="ListBullet"/>
      </w:pPr>
      <w:r>
        <w:t>Nombre de trabajo: pi-rich-renderer.</w:t>
      </w:r>
    </w:p>
    <w:p>
      <w:pPr>
        <w:pStyle w:val="ListBullet"/>
      </w:pPr>
      <w:r>
        <w:t>Plataforma inicial: Windows, Pi Coding Agent 1.0 y Gentle Shell 4.0.0.</w:t>
      </w:r>
    </w:p>
    <w:p>
      <w:pPr>
        <w:pStyle w:val="ListBullet"/>
      </w:pPr>
      <w:r>
        <w:t>Prioridad: código y tablas; luego diffs y formatos estructurados; después diagramas y fórmulas.</w:t>
      </w:r>
    </w:p>
    <w:p>
      <w:pPr>
        <w:pStyle w:val="ListBullet"/>
      </w:pPr>
      <w:r>
        <w:t>Acción predeterminada: copiar fuente original sin decoración.</w:t>
      </w:r>
    </w:p>
    <w:p>
      <w:pPr>
        <w:pStyle w:val="ListBullet"/>
      </w:pPr>
      <w:r>
        <w:t>Formateo y conversión: acciones explícitas separadas de la copia original.</w:t>
      </w:r>
    </w:p>
    <w:p>
      <w:pPr>
        <w:pStyle w:val="ListBullet"/>
      </w:pPr>
      <w:r>
        <w:t>Integración: APIs públicas; nada de parches al núcleo.</w:t>
      </w:r>
    </w:p>
    <w:p>
      <w:pPr>
        <w:pStyle w:val="ListBullet"/>
      </w:pPr>
      <w:r>
        <w:t>Fallback: selector y vista propia dentro de la TUI si no es posible intervenir directamente el transcript.</w:t>
      </w:r>
    </w:p>
    <w:p>
      <w:pPr>
        <w:pStyle w:val="Heading1"/>
      </w:pPr>
      <w:r>
        <w:t>15. Entregables</w:t>
      </w:r>
    </w:p>
    <w:p>
      <w:pPr>
        <w:pStyle w:val="ListBullet"/>
      </w:pPr>
      <w:r>
        <w:t>Código fuente TypeScript de la extensión.</w:t>
      </w:r>
    </w:p>
    <w:p>
      <w:pPr>
        <w:pStyle w:val="ListBullet"/>
      </w:pPr>
      <w:r>
        <w:t>Registro de comandos y componentes UI compatibles con Pi.</w:t>
      </w:r>
    </w:p>
    <w:p>
      <w:pPr>
        <w:pStyle w:val="ListBullet"/>
      </w:pPr>
      <w:r>
        <w:t>Extractor y modelo común de contenido.</w:t>
      </w:r>
    </w:p>
    <w:p>
      <w:pPr>
        <w:pStyle w:val="ListBullet"/>
      </w:pPr>
      <w:r>
        <w:t>Renderizadores por tipo de bloque.</w:t>
      </w:r>
    </w:p>
    <w:p>
      <w:pPr>
        <w:pStyle w:val="ListBullet"/>
      </w:pPr>
      <w:r>
        <w:t>Adaptador de portapapeles y exportadores.</w:t>
      </w:r>
    </w:p>
    <w:p>
      <w:pPr>
        <w:pStyle w:val="ListBullet"/>
      </w:pPr>
      <w:r>
        <w:t>Pruebas automatizadas y guía de pruebas manuales.</w:t>
      </w:r>
    </w:p>
    <w:p>
      <w:pPr>
        <w:pStyle w:val="ListBullet"/>
      </w:pPr>
      <w:r>
        <w:t>README con instalación, comandos, configuración y limitaciones.</w:t>
      </w:r>
    </w:p>
    <w:p>
      <w:pPr>
        <w:pStyle w:val="ListBullet"/>
      </w:pPr>
      <w:r>
        <w:t>Capturas o grabación de la TUI real después de la implementación.</w:t>
      </w:r>
    </w:p>
    <w:p>
      <w:pPr>
        <w:pStyle w:val="Heading1"/>
      </w:pPr>
      <w:r>
        <w:t>16. Prompt inicial para el agente de programación</w:t>
      </w:r>
    </w:p>
    <w:p>
      <w:pPr>
        <w:shd w:fill="F2F5F7"/>
      </w:pPr>
      <w:r>
        <w:rPr>
          <w:rFonts w:ascii="Aptos" w:hAnsi="Aptos"/>
          <w:sz w:val="18"/>
        </w:rPr>
        <w:t>Implementa pi-rich-renderer como una extensión TypeScript para Pi Coding Agent 1.0, utilizada dentro de Gentle Shell 4.0.0 en Windows. El objetivo es mejorar la lectura, selección, copia y exportación de código, tablas y otros bloques estructurados dentro de la TUI. Antes de elegir la integración visual, inspecciona las APIs públicas y ejemplos de extensiones de la versión instalada. No asumas que se puede reemplazar el renderer del transcript ni incrustar botones en cada bloque. No modifiques el núcleo ni archivos gestionados por Gentle Shell. Implementa primero un comando funcional, extracción fiel desde la fuente de sesión/contexto accesible, selección de bloques y copia limpia al portapapeles. Después añade tablas con exportación Markdown/TSV y renderizadores incrementales para diffs, JSON/YAML/XML, listas, Mermaid y LaTeX. Mantén la fuente original separada de la presentación; nunca extraigas contenido copiando la pantalla. Añade pruebas automatizadas para indentación, líneas vacías, Unicode, varios bloques, fences alternativos, tablas y errores del portapapeles. Si una función no está soportada por la API pública, documenta la limitación y utiliza una vista o selector propio dentro de la TUI como alternativa. Entrega código funcional, pruebas y README; no te limites a generar otro plan.</w:t>
      </w:r>
    </w:p>
    <w:p>
      <w:pPr>
        <w:pStyle w:val="Heading1"/>
      </w:pPr>
      <w:r>
        <w:t>17. Definición de terminado</w:t>
      </w:r>
    </w:p>
    <w:p>
      <w:r>
        <w:t>El proyecto está terminado cuando la extensión carga en el entorno objetivo, los comandos documentados funcionan, la copia no contiene decoración visual, las exportaciones respetan el tipo de dato, las pruebas pasan y el README permite repetir la instalación y las verificaciones. Las capacidades no soportadas por la API pública deben quedar documentadas como limitaciones, no presentarse como funciones implementadas.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Pi Rich Renderer · Brief técnico y funcional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4546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46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4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