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100" w:before="80" w:line="300"/>
        <w:jc w:val="left"/>
      </w:pPr>
      <w:r>
        <w:rPr>
          <w:rFonts w:ascii="Arial" w:cs="Arial" w:eastAsia="Arial" w:hAnsi="Arial"/>
          <w:b/>
          <w:bCs/>
          <w:i w:val="false"/>
          <w:iCs w:val="false"/>
          <w:color w:val="D85A30"/>
          <w:sz w:val="20"/>
          <w:szCs w:val="20"/>
        </w:rPr>
        <w:t xml:space="preserve">MODÈLE M37</w:t>
      </w:r>
    </w:p>
    <w:p>
      <w:pPr>
        <w:pBdr>
          <w:bottom w:val="single" w:color="D85A30" w:sz="12" w:space="1"/>
        </w:pBdr>
        <w:spacing w:after="200" w:before="0"/>
      </w:pPr>
      <w:r>
        <w:t xml:space="preserve"/>
      </w:r>
    </w:p>
    <w:p>
      <w:pPr>
        <w:spacing w:after="200" w:before="200" w:line="300"/>
        <w:jc w:val="left"/>
      </w:pPr>
      <w:r>
        <w:rPr>
          <w:rFonts w:ascii="Arial" w:cs="Arial" w:eastAsia="Arial" w:hAnsi="Arial"/>
          <w:b/>
          <w:bCs/>
          <w:i w:val="false"/>
          <w:iCs w:val="false"/>
          <w:color w:val="0F2A47"/>
          <w:sz w:val="52"/>
          <w:szCs w:val="52"/>
        </w:rPr>
        <w:t xml:space="preserve">Dispositif mobilité nationale et internationale</w:t>
      </w:r>
    </w:p>
    <w:p>
      <w:pPr>
        <w:spacing w:after="600" w:before="80" w:line="300"/>
        <w:jc w:val="left"/>
      </w:pPr>
      <w:r>
        <w:rPr>
          <w:rFonts w:ascii="Arial" w:cs="Arial" w:eastAsia="Arial" w:hAnsi="Arial"/>
          <w:b w:val="false"/>
          <w:bCs w:val="false"/>
          <w:i/>
          <w:iCs/>
          <w:color w:val="5F5E5A"/>
          <w:sz w:val="24"/>
          <w:szCs w:val="24"/>
        </w:rPr>
        <w:t xml:space="preserve">Organisation pour encourager et accompagner la mobilité des apprentis — spécifique CFA — Ind. 20</w:t>
      </w:r>
    </w:p>
    <w:p>
      <w:pPr>
        <w:spacing w:after="100" w:before="80" w:line="300"/>
        <w:jc w:val="left"/>
      </w:pPr>
      <w:r>
        <w:rPr>
          <w:rFonts w:ascii="Arial" w:cs="Arial" w:eastAsia="Arial" w:hAnsi="Arial"/>
          <w:b/>
          <w:bCs/>
          <w:i w:val="false"/>
          <w:iCs w:val="false"/>
          <w:color w:val="5F5E5A"/>
          <w:sz w:val="18"/>
          <w:szCs w:val="18"/>
        </w:rPr>
        <w:t xml:space="preserve">Référentiel National Qualité — Critères couverts</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Ind. 20 — Mobilité nationale et internationale (Mineure — CFA uniquement)</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Indicateur souvent perçu comme « facultatif » mais audité systématiquement pour les CFA</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L'objectif n'est pas le volume mais la possibilité offerte</w:t>
      </w:r>
    </w:p>
    <w:p>
      <w:pPr>
        <w:spacing w:after="800"/>
      </w:pPr>
      <w:r>
        <w:t xml:space="preserve"/>
      </w:r>
    </w:p>
    <w:p>
      <w:pPr>
        <w:spacing w:after="100" w:before="80" w:line="300"/>
        <w:jc w:val="left"/>
      </w:pPr>
      <w:r>
        <w:rPr>
          <w:rFonts w:ascii="Arial" w:cs="Arial" w:eastAsia="Arial" w:hAnsi="Arial"/>
          <w:b w:val="false"/>
          <w:bCs w:val="false"/>
          <w:i/>
          <w:iCs/>
          <w:color w:val="888780"/>
          <w:sz w:val="18"/>
          <w:szCs w:val="18"/>
        </w:rPr>
        <w:t xml:space="preserve">Document pédagogique annoté — annotations RNQ et exemples grisés à supprimer pour la version finale.</w:t>
      </w:r>
    </w:p>
    <w:p>
      <w:pPr>
        <w:spacing w:after="200" w:before="80" w:line="300"/>
        <w:jc w:val="left"/>
      </w:pPr>
      <w:r>
        <w:rPr>
          <w:rFonts w:ascii="Arial" w:cs="Arial" w:eastAsia="Arial" w:hAnsi="Arial"/>
          <w:b w:val="false"/>
          <w:bCs w:val="false"/>
          <w:i/>
          <w:iCs/>
          <w:color w:val="888780"/>
          <w:sz w:val="18"/>
          <w:szCs w:val="18"/>
        </w:rPr>
        <w:t xml:space="preserve">Une version « Signature » épurée existe en parallèle pour usage opérationnel.</w:t>
      </w:r>
    </w:p>
    <w:p>
      <w:r>
        <w:br w:type="page"/>
      </w:r>
    </w:p>
    <w:p>
      <w:pPr>
        <w:spacing w:after="60" w:before="80" w:line="300"/>
        <w:jc w:val="left"/>
      </w:pPr>
      <w:r>
        <w:rPr>
          <w:rFonts w:ascii="Arial" w:cs="Arial" w:eastAsia="Arial" w:hAnsi="Arial"/>
          <w:b w:val="false"/>
          <w:bCs w:val="false"/>
          <w:i/>
          <w:iCs/>
          <w:color w:val="888780"/>
          <w:sz w:val="18"/>
          <w:szCs w:val="18"/>
        </w:rPr>
        <w:t xml:space="preserve">[ Logo organisme ]</w:t>
      </w:r>
    </w:p>
    <w:p>
      <w:pPr>
        <w:spacing w:after="40" w:before="80" w:line="300"/>
        <w:jc w:val="left"/>
      </w:pPr>
      <w:r>
        <w:rPr>
          <w:rFonts w:ascii="Arial" w:cs="Arial" w:eastAsia="Arial" w:hAnsi="Arial"/>
          <w:b/>
          <w:bCs/>
          <w:i w:val="false"/>
          <w:iCs w:val="false"/>
          <w:color w:val="0F2A47"/>
          <w:sz w:val="22"/>
          <w:szCs w:val="22"/>
        </w:rPr>
        <w:t xml:space="preserve">[ Nom de l'organisme ]</w:t>
      </w:r>
      <w:r>
        <w:rPr>
          <w:rFonts w:ascii="Arial" w:cs="Arial" w:eastAsia="Arial" w:hAnsi="Arial"/>
          <w:b w:val="false"/>
          <w:bCs w:val="false"/>
          <w:i w:val="false"/>
          <w:iCs w:val="false"/>
          <w:color w:val="2C2C2A"/>
          <w:sz w:val="22"/>
          <w:szCs w:val="22"/>
        </w:rPr>
        <w:t xml:space="preserve">    </w:t>
      </w:r>
      <w:r>
        <w:rPr>
          <w:rFonts w:ascii="Arial" w:cs="Arial" w:eastAsia="Arial" w:hAnsi="Arial"/>
          <w:b w:val="false"/>
          <w:bCs w:val="false"/>
          <w:i w:val="false"/>
          <w:iCs w:val="false"/>
          <w:color w:val="5F5E5A"/>
          <w:sz w:val="18"/>
          <w:szCs w:val="18"/>
        </w:rPr>
        <w:t xml:space="preserve">N° Déclaration d'activité : [00 00000 00 00]</w:t>
      </w:r>
    </w:p>
    <w:p>
      <w:pPr>
        <w:spacing w:after="40" w:before="80" w:line="300"/>
        <w:jc w:val="left"/>
      </w:pPr>
      <w:r>
        <w:rPr>
          <w:rFonts w:ascii="Arial" w:cs="Arial" w:eastAsia="Arial" w:hAnsi="Arial"/>
          <w:b w:val="false"/>
          <w:bCs w:val="false"/>
          <w:i w:val="false"/>
          <w:iCs w:val="false"/>
          <w:color w:val="5F5E5A"/>
          <w:sz w:val="18"/>
          <w:szCs w:val="18"/>
        </w:rPr>
        <w:t xml:space="preserve">[ Adresse complète ] · [ Code postal Ville ]</w:t>
      </w:r>
    </w:p>
    <w:p>
      <w:pPr>
        <w:spacing w:after="40" w:before="80" w:line="300"/>
        <w:jc w:val="left"/>
      </w:pPr>
      <w:r>
        <w:rPr>
          <w:rFonts w:ascii="Arial" w:cs="Arial" w:eastAsia="Arial" w:hAnsi="Arial"/>
          <w:b w:val="false"/>
          <w:bCs w:val="false"/>
          <w:i w:val="false"/>
          <w:iCs w:val="false"/>
          <w:color w:val="5F5E5A"/>
          <w:sz w:val="18"/>
          <w:szCs w:val="18"/>
        </w:rPr>
        <w:t xml:space="preserve">Tél. : [01.XX.XX.XX.XX]  ·  Email : [contact@organisme.fr]  ·  Web : [www.organisme.fr]</w:t>
      </w:r>
    </w:p>
    <w:p>
      <w:pPr>
        <w:spacing w:after="200" w:before="80" w:line="300"/>
        <w:jc w:val="left"/>
      </w:pPr>
      <w:r>
        <w:rPr>
          <w:rFonts w:ascii="Arial" w:cs="Arial" w:eastAsia="Arial" w:hAnsi="Arial"/>
          <w:b w:val="false"/>
          <w:bCs w:val="false"/>
          <w:i w:val="false"/>
          <w:iCs w:val="false"/>
          <w:color w:val="5F5E5A"/>
          <w:sz w:val="18"/>
          <w:szCs w:val="18"/>
        </w:rPr>
        <w:t xml:space="preserve">SIRET : [000 000 000 00000]  ·  Certifié Qualiopi (catégorie d'action)</w:t>
      </w:r>
    </w:p>
    <w:p>
      <w:pPr>
        <w:pBdr>
          <w:bottom w:val="single" w:color="D85A30" w:sz="12" w:space="1"/>
        </w:pBd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Référence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DISPO-MOBILITE-V1.0</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Date d'application</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JJ / MM / AAAA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Périmètre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Apprentis du CFA (toutes promotions, tous niveaux)</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Validateur</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Direction CFA — Référent mobilité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Périodicité de revue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Annuelle — à chaque rentrée pédagogique</w:t>
            </w:r>
          </w:p>
        </w:tc>
      </w:tr>
    </w:tbl>
    <w:p>
      <w:pPr>
        <w:spacing w:after="160"/>
      </w:pPr>
      <w:r>
        <w:t xml:space="preserve"/>
      </w:r>
    </w:p>
    <w:p>
      <w:pPr>
        <w:pStyle w:val="Heading2"/>
        <w:spacing w:after="140" w:before="320"/>
      </w:pPr>
      <w:r>
        <w:rPr>
          <w:rFonts w:ascii="Arial" w:cs="Arial" w:eastAsia="Arial" w:hAnsi="Arial"/>
          <w:b/>
          <w:bCs/>
          <w:color w:val="0F2A47"/>
          <w:sz w:val="26"/>
          <w:szCs w:val="26"/>
        </w:rPr>
        <w:t xml:space="preserve">1 · Engagement de l'organisme</w:t>
      </w:r>
    </w:p>
    <w:p>
      <w:pPr>
        <w:spacing w:after="100" w:before="80" w:line="300"/>
        <w:jc w:val="left"/>
      </w:pPr>
      <w:r>
        <w:rPr>
          <w:rFonts w:ascii="Arial" w:cs="Arial" w:eastAsia="Arial" w:hAnsi="Arial"/>
          <w:b w:val="false"/>
          <w:bCs w:val="false"/>
          <w:i w:val="false"/>
          <w:iCs w:val="false"/>
          <w:color w:val="2C2C2A"/>
          <w:sz w:val="22"/>
          <w:szCs w:val="22"/>
        </w:rPr>
        <w:t xml:space="preserve">L'organisme s'engage à proposer aux apprentis la possibilité d'une mobilité nationale ou internationale durant leur parcours en apprentissage. Cette mobilité contribue à :</w:t>
      </w:r>
    </w:p>
    <w:p>
      <w:pPr>
        <w:pStyle w:val="ListParagraph"/>
        <w:numPr>
          <w:ilvl w:val="0"/>
          <w:numId w:val="2"/>
        </w:numPr>
        <w:spacing w:after="40" w:before="40" w:line="280"/>
      </w:pPr>
      <w:r>
        <w:rPr>
          <w:rFonts w:ascii="Arial" w:cs="Arial" w:eastAsia="Arial" w:hAnsi="Arial"/>
          <w:color w:val="2C2C2A"/>
          <w:sz w:val="22"/>
          <w:szCs w:val="22"/>
        </w:rPr>
        <w:t xml:space="preserve">Renforcer les compétences professionnelles dans un autre contexte de travail.</w:t>
      </w:r>
    </w:p>
    <w:p>
      <w:pPr>
        <w:pStyle w:val="ListParagraph"/>
        <w:numPr>
          <w:ilvl w:val="0"/>
          <w:numId w:val="2"/>
        </w:numPr>
        <w:spacing w:after="40" w:before="40" w:line="280"/>
      </w:pPr>
      <w:r>
        <w:rPr>
          <w:rFonts w:ascii="Arial" w:cs="Arial" w:eastAsia="Arial" w:hAnsi="Arial"/>
          <w:color w:val="2C2C2A"/>
          <w:sz w:val="22"/>
          <w:szCs w:val="22"/>
        </w:rPr>
        <w:t xml:space="preserve">Développer les compétences interculturelles et linguistiques.</w:t>
      </w:r>
    </w:p>
    <w:p>
      <w:pPr>
        <w:pStyle w:val="ListParagraph"/>
        <w:numPr>
          <w:ilvl w:val="0"/>
          <w:numId w:val="2"/>
        </w:numPr>
        <w:spacing w:after="40" w:before="40" w:line="280"/>
      </w:pPr>
      <w:r>
        <w:rPr>
          <w:rFonts w:ascii="Arial" w:cs="Arial" w:eastAsia="Arial" w:hAnsi="Arial"/>
          <w:color w:val="2C2C2A"/>
          <w:sz w:val="22"/>
          <w:szCs w:val="22"/>
        </w:rPr>
        <w:t xml:space="preserve">Favoriser l'employabilité et l'ouverture sur l'international.</w:t>
      </w:r>
    </w:p>
    <w:p>
      <w:pPr>
        <w:pStyle w:val="ListParagraph"/>
        <w:numPr>
          <w:ilvl w:val="0"/>
          <w:numId w:val="2"/>
        </w:numPr>
        <w:spacing w:after="40" w:before="40" w:line="280"/>
      </w:pPr>
      <w:r>
        <w:rPr>
          <w:rFonts w:ascii="Arial" w:cs="Arial" w:eastAsia="Arial" w:hAnsi="Arial"/>
          <w:color w:val="2C2C2A"/>
          <w:sz w:val="22"/>
          <w:szCs w:val="22"/>
        </w:rPr>
        <w:t xml:space="preserve">S'inscrire dans une dynamique européenne (Erasmus+, ECVET).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Ind. 20 — Mineure (CFA uniquement)  </w:t>
            </w:r>
            <w:r>
              <w:rPr>
                <w:rFonts w:ascii="Arial" w:cs="Arial" w:eastAsia="Arial" w:hAnsi="Arial"/>
                <w:color w:val="2C2C2A"/>
                <w:sz w:val="18"/>
                <w:szCs w:val="18"/>
              </w:rPr>
              <w:t xml:space="preserve">L'objectif n'est PAS le volume de départs mais la POSSIBILITÉ offerte. Un CFA qui informe, accompagne, et organise — même avec peu de départs effectifs — est conforme. À l'inverse, un CFA sans dispositif, même avec des apprentis volontaires, sera en NC.</w:t>
            </w:r>
          </w:p>
        </w:tc>
      </w:tr>
    </w:tbl>
    <w:p>
      <w:pPr>
        <w:pStyle w:val="Heading2"/>
        <w:spacing w:after="140" w:before="320"/>
      </w:pPr>
      <w:r>
        <w:rPr>
          <w:rFonts w:ascii="Arial" w:cs="Arial" w:eastAsia="Arial" w:hAnsi="Arial"/>
          <w:b/>
          <w:bCs/>
          <w:color w:val="0F2A47"/>
          <w:sz w:val="26"/>
          <w:szCs w:val="26"/>
        </w:rPr>
        <w:t xml:space="preserve">2 · Référent mobilité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Nom et prénom du référent</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Mme / M. NOM Prénom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Fonction principale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Fonction au sein du CFA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Email dédié mobilité</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mobilite@cfa.fr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Téléphone direct</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[ 01.XX.XX.XX.XX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Plages de disponibilité</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Lundi-vendredi 9h-17h — RDV individuels sur demande</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Date de désignation</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JJ / MM / AAAA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Formation suivie (recommandé)</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Formation Erasmus+ / Échanges européens — Année ]</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Piège fréquent  </w:t>
            </w:r>
            <w:r>
              <w:rPr>
                <w:rFonts w:ascii="Arial" w:cs="Arial" w:eastAsia="Arial" w:hAnsi="Arial"/>
                <w:color w:val="2C2C2A"/>
                <w:sz w:val="18"/>
                <w:szCs w:val="18"/>
              </w:rPr>
              <w:t xml:space="preserve">Référent mobilité non nommé OU désignation vague (« la direction ») = NC quasi-automatique. Désignez UN nom, UNE fonction, UN contact accessible. Le nom du référent doit être communiqué aux apprentis et affiché.</w:t>
            </w:r>
          </w:p>
        </w:tc>
      </w:tr>
    </w:tbl>
    <w:p>
      <w:pPr>
        <w:pStyle w:val="Heading2"/>
        <w:spacing w:after="140" w:before="320"/>
      </w:pPr>
      <w:r>
        <w:rPr>
          <w:rFonts w:ascii="Arial" w:cs="Arial" w:eastAsia="Arial" w:hAnsi="Arial"/>
          <w:b/>
          <w:bCs/>
          <w:color w:val="0F2A47"/>
          <w:sz w:val="26"/>
          <w:szCs w:val="26"/>
        </w:rPr>
        <w:t xml:space="preserve">3 · Réseau de partenaires mobilité</w:t>
      </w:r>
    </w:p>
    <w:p>
      <w:pPr>
        <w:spacing w:after="80" w:before="200" w:line="300"/>
        <w:jc w:val="left"/>
      </w:pPr>
      <w:r>
        <w:rPr>
          <w:rFonts w:ascii="Arial" w:cs="Arial" w:eastAsia="Arial" w:hAnsi="Arial"/>
          <w:b/>
          <w:bCs/>
          <w:color w:val="D85A30"/>
          <w:spacing w:val="30"/>
          <w:sz w:val="18"/>
          <w:szCs w:val="18"/>
        </w:rPr>
        <w:t xml:space="preserve">3.1 · PARTENAIRES NATIONAUX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rPr>
          <w:tblHeader/>
        </w:trPr>
        <w:tc>
          <w:tcPr>
            <w:tcW w:type="dxa" w:w="32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Partenaire</w:t>
            </w:r>
          </w:p>
        </w:tc>
        <w:tc>
          <w:tcPr>
            <w:tcW w:type="dxa" w:w="40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Type de collaboration</w:t>
            </w:r>
          </w:p>
        </w:tc>
        <w:tc>
          <w:tcPr>
            <w:tcW w:type="dxa" w:w="21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Contact référent</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Région — Conseil régional ]</w:t>
            </w:r>
          </w:p>
        </w:tc>
        <w:tc>
          <w:tcPr>
            <w:tcW w:type="dxa" w:w="4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Aide financière mobilité régionale</w:t>
            </w:r>
          </w:p>
        </w:tc>
        <w:tc>
          <w:tcPr>
            <w:tcW w:type="dxa" w:w="21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Contact ]</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Branche professionnelle / OPCO ]</w:t>
            </w:r>
          </w:p>
        </w:tc>
        <w:tc>
          <w:tcPr>
            <w:tcW w:type="dxa" w:w="4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Dispositif sectoriel mobilité</w:t>
            </w:r>
          </w:p>
        </w:tc>
        <w:tc>
          <w:tcPr>
            <w:tcW w:type="dxa" w:w="21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Contact ]</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CFA partenaire — Ville ]</w:t>
            </w:r>
          </w:p>
        </w:tc>
        <w:tc>
          <w:tcPr>
            <w:tcW w:type="dxa" w:w="4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Échanges réciproques entre CFA</w:t>
            </w:r>
          </w:p>
        </w:tc>
        <w:tc>
          <w:tcPr>
            <w:tcW w:type="dxa" w:w="21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Contact ]</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Entreprises partenaires multi-sites ]</w:t>
            </w:r>
          </w:p>
        </w:tc>
        <w:tc>
          <w:tcPr>
            <w:tcW w:type="dxa" w:w="4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Mobilité interne — autre site géographique</w:t>
            </w:r>
          </w:p>
        </w:tc>
        <w:tc>
          <w:tcPr>
            <w:tcW w:type="dxa" w:w="21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Contact ]</w:t>
            </w:r>
          </w:p>
        </w:tc>
      </w:tr>
    </w:tbl>
    <w:p>
      <w:pPr>
        <w:spacing w:after="140"/>
      </w:pPr>
      <w:r>
        <w:t xml:space="preserve"/>
      </w:r>
    </w:p>
    <w:p>
      <w:pPr>
        <w:spacing w:after="80" w:before="200" w:line="300"/>
        <w:jc w:val="left"/>
      </w:pPr>
      <w:r>
        <w:rPr>
          <w:rFonts w:ascii="Arial" w:cs="Arial" w:eastAsia="Arial" w:hAnsi="Arial"/>
          <w:b/>
          <w:bCs/>
          <w:color w:val="D85A30"/>
          <w:spacing w:val="30"/>
          <w:sz w:val="18"/>
          <w:szCs w:val="18"/>
        </w:rPr>
        <w:t xml:space="preserve">3.2 · PARTENAIRES INTERNATIONAUX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Partenaire</w:t>
            </w:r>
          </w:p>
        </w:tc>
        <w:tc>
          <w:tcPr>
            <w:tcW w:type="dxa" w:w="18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Pays</w:t>
            </w:r>
          </w:p>
        </w:tc>
        <w:tc>
          <w:tcPr>
            <w:tcW w:type="dxa" w:w="45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Type de collaboration</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Agence Erasmus+ France</w:t>
            </w:r>
          </w:p>
        </w:tc>
        <w:tc>
          <w:tcPr>
            <w:tcW w:type="dxa" w:w="1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France (relais européen)</w:t>
            </w:r>
          </w:p>
        </w:tc>
        <w:tc>
          <w:tcPr>
            <w:tcW w:type="dxa" w:w="45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Accréditation / financement / accompagnement</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Établissement partenaire ]</w:t>
            </w:r>
          </w:p>
        </w:tc>
        <w:tc>
          <w:tcPr>
            <w:tcW w:type="dxa" w:w="1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Pays ]</w:t>
            </w:r>
          </w:p>
        </w:tc>
        <w:tc>
          <w:tcPr>
            <w:tcW w:type="dxa" w:w="45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Échange apprentis — convention bilatérale</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Entreprise multi-pays ]</w:t>
            </w:r>
          </w:p>
        </w:tc>
        <w:tc>
          <w:tcPr>
            <w:tcW w:type="dxa" w:w="1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Pays ]</w:t>
            </w:r>
          </w:p>
        </w:tc>
        <w:tc>
          <w:tcPr>
            <w:tcW w:type="dxa" w:w="45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Stage en filiale étrangère</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Chambre des métiers franco-X ]</w:t>
            </w:r>
          </w:p>
        </w:tc>
        <w:tc>
          <w:tcPr>
            <w:tcW w:type="dxa" w:w="1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Pays ]</w:t>
            </w:r>
          </w:p>
        </w:tc>
        <w:tc>
          <w:tcPr>
            <w:tcW w:type="dxa" w:w="45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Mise en relation entreprises d'accueil</w:t>
            </w:r>
          </w:p>
        </w:tc>
      </w:tr>
    </w:tbl>
    <w:p>
      <w:pPr>
        <w:pStyle w:val="Heading2"/>
        <w:spacing w:after="140" w:before="320"/>
      </w:pPr>
      <w:r>
        <w:rPr>
          <w:rFonts w:ascii="Arial" w:cs="Arial" w:eastAsia="Arial" w:hAnsi="Arial"/>
          <w:b/>
          <w:bCs/>
          <w:color w:val="0F2A47"/>
          <w:sz w:val="26"/>
          <w:szCs w:val="26"/>
        </w:rPr>
        <w:t xml:space="preserve">4 · Information et communication aux apprentis</w:t>
      </w:r>
    </w:p>
    <w:p>
      <w:pPr>
        <w:spacing w:after="80" w:before="200" w:line="300"/>
        <w:jc w:val="left"/>
      </w:pPr>
      <w:r>
        <w:rPr>
          <w:rFonts w:ascii="Arial" w:cs="Arial" w:eastAsia="Arial" w:hAnsi="Arial"/>
          <w:b/>
          <w:bCs/>
          <w:color w:val="D85A30"/>
          <w:spacing w:val="30"/>
          <w:sz w:val="18"/>
          <w:szCs w:val="18"/>
        </w:rPr>
        <w:t xml:space="preserve">4.1 · SUPPORTS DE COMMUNICATION</w:t>
      </w:r>
    </w:p>
    <w:p>
      <w:pPr>
        <w:pStyle w:val="ListParagraph"/>
        <w:numPr>
          <w:ilvl w:val="0"/>
          <w:numId w:val="2"/>
        </w:numPr>
        <w:spacing w:after="40" w:before="40" w:line="280"/>
      </w:pPr>
      <w:r>
        <w:rPr>
          <w:rFonts w:ascii="Arial" w:cs="Arial" w:eastAsia="Arial" w:hAnsi="Arial"/>
          <w:color w:val="2C2C2A"/>
          <w:sz w:val="22"/>
          <w:szCs w:val="22"/>
        </w:rPr>
        <w:t xml:space="preserve">Affichage permanent dans les locaux du CFA — panneau « Mobilité » dédié.</w:t>
      </w:r>
    </w:p>
    <w:p>
      <w:pPr>
        <w:pStyle w:val="ListParagraph"/>
        <w:numPr>
          <w:ilvl w:val="0"/>
          <w:numId w:val="2"/>
        </w:numPr>
        <w:spacing w:after="40" w:before="40" w:line="280"/>
      </w:pPr>
      <w:r>
        <w:rPr>
          <w:rFonts w:ascii="Arial" w:cs="Arial" w:eastAsia="Arial" w:hAnsi="Arial"/>
          <w:color w:val="2C2C2A"/>
          <w:sz w:val="22"/>
          <w:szCs w:val="22"/>
        </w:rPr>
        <w:t xml:space="preserve">Page dédiée sur le site web du CFA — actualités, témoignages, démarches.</w:t>
      </w:r>
    </w:p>
    <w:p>
      <w:pPr>
        <w:pStyle w:val="ListParagraph"/>
        <w:numPr>
          <w:ilvl w:val="0"/>
          <w:numId w:val="2"/>
        </w:numPr>
        <w:spacing w:after="40" w:before="40" w:line="280"/>
      </w:pPr>
      <w:r>
        <w:rPr>
          <w:rFonts w:ascii="Arial" w:cs="Arial" w:eastAsia="Arial" w:hAnsi="Arial"/>
          <w:color w:val="2C2C2A"/>
          <w:sz w:val="22"/>
          <w:szCs w:val="22"/>
        </w:rPr>
        <w:t xml:space="preserve">Email d'information envoyé en début d'année à tous les apprentis.</w:t>
      </w:r>
    </w:p>
    <w:p>
      <w:pPr>
        <w:pStyle w:val="ListParagraph"/>
        <w:numPr>
          <w:ilvl w:val="0"/>
          <w:numId w:val="2"/>
        </w:numPr>
        <w:spacing w:after="40" w:before="40" w:line="280"/>
      </w:pPr>
      <w:r>
        <w:rPr>
          <w:rFonts w:ascii="Arial" w:cs="Arial" w:eastAsia="Arial" w:hAnsi="Arial"/>
          <w:color w:val="2C2C2A"/>
          <w:sz w:val="22"/>
          <w:szCs w:val="22"/>
        </w:rPr>
        <w:t xml:space="preserve">Mention dans le livret d'accueil et la charte de l'apprenti.</w:t>
      </w:r>
    </w:p>
    <w:p>
      <w:pPr>
        <w:pStyle w:val="ListParagraph"/>
        <w:numPr>
          <w:ilvl w:val="0"/>
          <w:numId w:val="2"/>
        </w:numPr>
        <w:spacing w:after="40" w:before="40" w:line="280"/>
      </w:pPr>
      <w:r>
        <w:rPr>
          <w:rFonts w:ascii="Arial" w:cs="Arial" w:eastAsia="Arial" w:hAnsi="Arial"/>
          <w:color w:val="2C2C2A"/>
          <w:sz w:val="22"/>
          <w:szCs w:val="22"/>
        </w:rPr>
        <w:t xml:space="preserve">Présentation aux représentants des apprentis (conseil de perfectionnement).</w:t>
      </w:r>
    </w:p>
    <w:p>
      <w:pPr>
        <w:spacing w:after="120"/>
      </w:pPr>
      <w:r>
        <w:t xml:space="preserve"/>
      </w:r>
    </w:p>
    <w:p>
      <w:pPr>
        <w:spacing w:after="80" w:before="200" w:line="300"/>
        <w:jc w:val="left"/>
      </w:pPr>
      <w:r>
        <w:rPr>
          <w:rFonts w:ascii="Arial" w:cs="Arial" w:eastAsia="Arial" w:hAnsi="Arial"/>
          <w:b/>
          <w:bCs/>
          <w:color w:val="D85A30"/>
          <w:spacing w:val="30"/>
          <w:sz w:val="18"/>
          <w:szCs w:val="18"/>
        </w:rPr>
        <w:t xml:space="preserve">4.2 · ATELIERS D'INFORMATION ANNUELS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Périodicité</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Au moins 1 atelier par an (rentrée + mi-année si possible)</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Format</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Présentiel ou hybride — durée 1h-1h30</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Public cible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Tous les apprentis du CFA (en priorité 1ère et 2ème année)</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Intervenants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Référent mobilité + témoignages d'anciens partis (le cas échéant)</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Contenu type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Opportunités, démarches, financements, exemples, questions/réponses</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Traçabilité</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Émargement signé + support de présentation + photos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Piège fréquent  </w:t>
            </w:r>
            <w:r>
              <w:rPr>
                <w:rFonts w:ascii="Arial" w:cs="Arial" w:eastAsia="Arial" w:hAnsi="Arial"/>
                <w:color w:val="2C2C2A"/>
                <w:sz w:val="18"/>
                <w:szCs w:val="18"/>
              </w:rPr>
              <w:t xml:space="preserve">« On en parle au fil de l'eau » ne tient pas en audit. Au moins 1 atelier formel / an avec émargement et support écrit. Le silence = absence de proposition = NC.</w:t>
            </w:r>
          </w:p>
        </w:tc>
      </w:tr>
    </w:tbl>
    <w:p>
      <w:pPr>
        <w:pStyle w:val="Heading2"/>
        <w:spacing w:after="140" w:before="320"/>
      </w:pPr>
      <w:r>
        <w:rPr>
          <w:rFonts w:ascii="Arial" w:cs="Arial" w:eastAsia="Arial" w:hAnsi="Arial"/>
          <w:b/>
          <w:bCs/>
          <w:color w:val="0F2A47"/>
          <w:sz w:val="26"/>
          <w:szCs w:val="26"/>
        </w:rPr>
        <w:t xml:space="preserve">5 · Processus d'accompagnement d'une mobilité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800"/>
        <w:gridCol w:w="2060"/>
      </w:tblGrid>
      <w:tr>
        <w:trPr>
          <w:tblHeader/>
        </w:trPr>
        <w:tc>
          <w:tcPr>
            <w:tcW w:type="dxa" w:w="30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Étape</w:t>
            </w:r>
          </w:p>
        </w:tc>
        <w:tc>
          <w:tcPr>
            <w:tcW w:type="dxa" w:w="15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Délai</w:t>
            </w:r>
          </w:p>
        </w:tc>
        <w:tc>
          <w:tcPr>
            <w:tcW w:type="dxa" w:w="28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Acteurs</w:t>
            </w:r>
          </w:p>
        </w:tc>
        <w:tc>
          <w:tcPr>
            <w:tcW w:type="dxa" w:w="20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Documents</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1. Manifestation d'intérêt apprenti</w:t>
            </w:r>
          </w:p>
        </w:tc>
        <w:tc>
          <w:tcPr>
            <w:tcW w:type="dxa" w:w="1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T-12 mois (idéal)</w:t>
            </w:r>
          </w:p>
        </w:tc>
        <w:tc>
          <w:tcPr>
            <w:tcW w:type="dxa" w:w="2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Apprenti + Référent mobilité</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Formulaire de candidature</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2. Entretien orientation + faisabilité</w:t>
            </w:r>
          </w:p>
        </w:tc>
        <w:tc>
          <w:tcPr>
            <w:tcW w:type="dxa" w:w="1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T-10 mois</w:t>
            </w:r>
          </w:p>
        </w:tc>
        <w:tc>
          <w:tcPr>
            <w:tcW w:type="dxa" w:w="2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Référent + apprenti + maître d'apprentissage</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CR entretien</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3. Identification structure d'accueil</w:t>
            </w:r>
          </w:p>
        </w:tc>
        <w:tc>
          <w:tcPr>
            <w:tcW w:type="dxa" w:w="1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T-8 mois</w:t>
            </w:r>
          </w:p>
        </w:tc>
        <w:tc>
          <w:tcPr>
            <w:tcW w:type="dxa" w:w="2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Référent + partenaires</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Convention de principe</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4. Montage financier (Erasmus+, Région)</w:t>
            </w:r>
          </w:p>
        </w:tc>
        <w:tc>
          <w:tcPr>
            <w:tcW w:type="dxa" w:w="1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T-6 mois</w:t>
            </w:r>
          </w:p>
        </w:tc>
        <w:tc>
          <w:tcPr>
            <w:tcW w:type="dxa" w:w="2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Référent + comptabilité</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Dossier de financement</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5. Convention de mobilité signée</w:t>
            </w:r>
          </w:p>
        </w:tc>
        <w:tc>
          <w:tcPr>
            <w:tcW w:type="dxa" w:w="1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T-3 mois</w:t>
            </w:r>
          </w:p>
        </w:tc>
        <w:tc>
          <w:tcPr>
            <w:tcW w:type="dxa" w:w="2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Toutes parties prenantes</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Convention tripartite</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6. Préparation linguistique + culturelle</w:t>
            </w:r>
          </w:p>
        </w:tc>
        <w:tc>
          <w:tcPr>
            <w:tcW w:type="dxa" w:w="1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T-2 mois</w:t>
            </w:r>
          </w:p>
        </w:tc>
        <w:tc>
          <w:tcPr>
            <w:tcW w:type="dxa" w:w="2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Apprenti (en autonomie + soutien CFA)</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Trace formation/MOOC</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7. Départ et suivi à distance</w:t>
            </w:r>
          </w:p>
        </w:tc>
        <w:tc>
          <w:tcPr>
            <w:tcW w:type="dxa" w:w="1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Pendant</w:t>
            </w:r>
          </w:p>
        </w:tc>
        <w:tc>
          <w:tcPr>
            <w:tcW w:type="dxa" w:w="2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Référent + structure accueil</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Comptes-rendus intermédiaires</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8. Retour : bilan + valorisation</w:t>
            </w:r>
          </w:p>
        </w:tc>
        <w:tc>
          <w:tcPr>
            <w:tcW w:type="dxa" w:w="15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T+1 mois</w:t>
            </w:r>
          </w:p>
        </w:tc>
        <w:tc>
          <w:tcPr>
            <w:tcW w:type="dxa" w:w="28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Apprenti + référent + maître d'apprentissage</w:t>
            </w:r>
          </w:p>
        </w:tc>
        <w:tc>
          <w:tcPr>
            <w:tcW w:type="dxa" w:w="20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Bilan écrit + Europass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Reconnaissance dans le parcours  </w:t>
            </w:r>
            <w:r>
              <w:rPr>
                <w:rFonts w:ascii="Arial" w:cs="Arial" w:eastAsia="Arial" w:hAnsi="Arial"/>
                <w:color w:val="2C2C2A"/>
                <w:sz w:val="18"/>
                <w:szCs w:val="18"/>
              </w:rPr>
              <w:t xml:space="preserve">Une mobilité doit être valorisée dans le parcours : (1) reconnue comme période de formation (continuité du contrat d'apprentissage), (2) tracée dans le livret d'apprentissage, (3) intégrée le cas échéant au livret européen Europass. Sans valorisation, la mobilité est une simple parenthèse non capitalisée.</w:t>
            </w:r>
          </w:p>
        </w:tc>
      </w:tr>
    </w:tbl>
    <w:p>
      <w:pPr>
        <w:pStyle w:val="Heading2"/>
        <w:spacing w:after="140" w:before="320"/>
      </w:pPr>
      <w:r>
        <w:rPr>
          <w:rFonts w:ascii="Arial" w:cs="Arial" w:eastAsia="Arial" w:hAnsi="Arial"/>
          <w:b/>
          <w:bCs/>
          <w:color w:val="0F2A47"/>
          <w:sz w:val="26"/>
          <w:szCs w:val="26"/>
        </w:rPr>
        <w:t xml:space="preserve">6 · Mobilité et accessibilité (apprentis en situation de handicap)</w:t>
      </w:r>
    </w:p>
    <w:p>
      <w:pPr>
        <w:pStyle w:val="ListParagraph"/>
        <w:numPr>
          <w:ilvl w:val="0"/>
          <w:numId w:val="2"/>
        </w:numPr>
        <w:spacing w:after="40" w:before="40" w:line="280"/>
      </w:pPr>
      <w:r>
        <w:rPr>
          <w:rFonts w:ascii="Arial" w:cs="Arial" w:eastAsia="Arial" w:hAnsi="Arial"/>
          <w:color w:val="2C2C2A"/>
          <w:sz w:val="22"/>
          <w:szCs w:val="22"/>
        </w:rPr>
        <w:t xml:space="preserve">Sensibilisation des apprentis PSH aux opportunités de mobilité — pas d'exclusion a priori.</w:t>
      </w:r>
    </w:p>
    <w:p>
      <w:pPr>
        <w:pStyle w:val="ListParagraph"/>
        <w:numPr>
          <w:ilvl w:val="0"/>
          <w:numId w:val="2"/>
        </w:numPr>
        <w:spacing w:after="40" w:before="40" w:line="280"/>
      </w:pPr>
      <w:r>
        <w:rPr>
          <w:rFonts w:ascii="Arial" w:cs="Arial" w:eastAsia="Arial" w:hAnsi="Arial"/>
          <w:color w:val="2C2C2A"/>
          <w:sz w:val="22"/>
          <w:szCs w:val="22"/>
        </w:rPr>
        <w:t xml:space="preserve">Lien avec le référent handicap pour évaluer la faisabilité et identifier les aménagements.</w:t>
      </w:r>
    </w:p>
    <w:p>
      <w:pPr>
        <w:pStyle w:val="ListParagraph"/>
        <w:numPr>
          <w:ilvl w:val="0"/>
          <w:numId w:val="2"/>
        </w:numPr>
        <w:spacing w:after="40" w:before="40" w:line="280"/>
      </w:pPr>
      <w:r>
        <w:rPr>
          <w:rFonts w:ascii="Arial" w:cs="Arial" w:eastAsia="Arial" w:hAnsi="Arial"/>
          <w:color w:val="2C2C2A"/>
          <w:sz w:val="22"/>
          <w:szCs w:val="22"/>
        </w:rPr>
        <w:t xml:space="preserve">Mobilisation des dispositifs spécifiques (Erasmus+ inclusion, soutien complémentaire AGEFIPH).</w:t>
      </w:r>
    </w:p>
    <w:p>
      <w:pPr>
        <w:pStyle w:val="ListParagraph"/>
        <w:numPr>
          <w:ilvl w:val="0"/>
          <w:numId w:val="2"/>
        </w:numPr>
        <w:spacing w:after="40" w:before="40" w:line="280"/>
      </w:pPr>
      <w:r>
        <w:rPr>
          <w:rFonts w:ascii="Arial" w:cs="Arial" w:eastAsia="Arial" w:hAnsi="Arial"/>
          <w:color w:val="2C2C2A"/>
          <w:sz w:val="22"/>
          <w:szCs w:val="22"/>
        </w:rPr>
        <w:t xml:space="preserve">Convention avec la structure d'accueil mentionnant explicitement les aménagements prévus.</w:t>
      </w:r>
    </w:p>
    <w:p>
      <w:pPr>
        <w:pStyle w:val="ListParagraph"/>
        <w:numPr>
          <w:ilvl w:val="0"/>
          <w:numId w:val="2"/>
        </w:numPr>
        <w:spacing w:after="40" w:before="40" w:line="280"/>
      </w:pPr>
      <w:r>
        <w:rPr>
          <w:rFonts w:ascii="Arial" w:cs="Arial" w:eastAsia="Arial" w:hAnsi="Arial"/>
          <w:color w:val="2C2C2A"/>
          <w:sz w:val="22"/>
          <w:szCs w:val="22"/>
        </w:rPr>
        <w:t xml:space="preserve">Suivi renforcé pendant la période de mobilité (point hebdomadaire dédié).</w:t>
      </w:r>
    </w:p>
    <w:p>
      <w:pPr>
        <w:pStyle w:val="Heading2"/>
        <w:spacing w:after="140" w:before="320"/>
      </w:pPr>
      <w:r>
        <w:rPr>
          <w:rFonts w:ascii="Arial" w:cs="Arial" w:eastAsia="Arial" w:hAnsi="Arial"/>
          <w:b/>
          <w:bCs/>
          <w:color w:val="0F2A47"/>
          <w:sz w:val="26"/>
          <w:szCs w:val="26"/>
        </w:rPr>
        <w:t xml:space="preserve">7 · Bilan annuel des mobilités</w:t>
      </w:r>
    </w:p>
    <w:p>
      <w:pPr>
        <w:spacing w:after="100" w:before="80" w:line="300"/>
        <w:jc w:val="left"/>
      </w:pPr>
      <w:r>
        <w:rPr>
          <w:rFonts w:ascii="Arial" w:cs="Arial" w:eastAsia="Arial" w:hAnsi="Arial"/>
          <w:b w:val="false"/>
          <w:bCs w:val="false"/>
          <w:i w:val="false"/>
          <w:iCs w:val="false"/>
          <w:color w:val="2C2C2A"/>
          <w:sz w:val="22"/>
          <w:szCs w:val="22"/>
        </w:rPr>
        <w:t xml:space="preserve">Chaque année, un bilan est produit et présenté au conseil de perfectionnement (lié à l'Ind. 32) :</w:t>
      </w:r>
    </w:p>
    <w:p>
      <w:pPr>
        <w:pStyle w:val="ListParagraph"/>
        <w:numPr>
          <w:ilvl w:val="0"/>
          <w:numId w:val="2"/>
        </w:numPr>
        <w:spacing w:after="40" w:before="40" w:line="280"/>
      </w:pPr>
      <w:r>
        <w:rPr>
          <w:rFonts w:ascii="Arial" w:cs="Arial" w:eastAsia="Arial" w:hAnsi="Arial"/>
          <w:color w:val="2C2C2A"/>
          <w:sz w:val="22"/>
          <w:szCs w:val="22"/>
        </w:rPr>
        <w:t xml:space="preserve">Nombre d'apprentis ayant manifesté un intérêt pour une mobilité.</w:t>
      </w:r>
    </w:p>
    <w:p>
      <w:pPr>
        <w:pStyle w:val="ListParagraph"/>
        <w:numPr>
          <w:ilvl w:val="0"/>
          <w:numId w:val="2"/>
        </w:numPr>
        <w:spacing w:after="40" w:before="40" w:line="280"/>
      </w:pPr>
      <w:r>
        <w:rPr>
          <w:rFonts w:ascii="Arial" w:cs="Arial" w:eastAsia="Arial" w:hAnsi="Arial"/>
          <w:color w:val="2C2C2A"/>
          <w:sz w:val="22"/>
          <w:szCs w:val="22"/>
        </w:rPr>
        <w:t xml:space="preserve">Nombre de mobilités effectivement réalisées (durée, destination, structure d'accueil).</w:t>
      </w:r>
    </w:p>
    <w:p>
      <w:pPr>
        <w:pStyle w:val="ListParagraph"/>
        <w:numPr>
          <w:ilvl w:val="0"/>
          <w:numId w:val="2"/>
        </w:numPr>
        <w:spacing w:after="40" w:before="40" w:line="280"/>
      </w:pPr>
      <w:r>
        <w:rPr>
          <w:rFonts w:ascii="Arial" w:cs="Arial" w:eastAsia="Arial" w:hAnsi="Arial"/>
          <w:color w:val="2C2C2A"/>
          <w:sz w:val="22"/>
          <w:szCs w:val="22"/>
        </w:rPr>
        <w:t xml:space="preserve">Synthèse des évaluations des apprentis et des entreprises d'accueil.</w:t>
      </w:r>
    </w:p>
    <w:p>
      <w:pPr>
        <w:pStyle w:val="ListParagraph"/>
        <w:numPr>
          <w:ilvl w:val="0"/>
          <w:numId w:val="2"/>
        </w:numPr>
        <w:spacing w:after="40" w:before="40" w:line="280"/>
      </w:pPr>
      <w:r>
        <w:rPr>
          <w:rFonts w:ascii="Arial" w:cs="Arial" w:eastAsia="Arial" w:hAnsi="Arial"/>
          <w:color w:val="2C2C2A"/>
          <w:sz w:val="22"/>
          <w:szCs w:val="22"/>
        </w:rPr>
        <w:t xml:space="preserve">Évolution par rapport à l'année N-1 — analyse des tendances.</w:t>
      </w:r>
    </w:p>
    <w:p>
      <w:pPr>
        <w:pStyle w:val="ListParagraph"/>
        <w:numPr>
          <w:ilvl w:val="0"/>
          <w:numId w:val="2"/>
        </w:numPr>
        <w:spacing w:after="40" w:before="40" w:line="280"/>
      </w:pPr>
      <w:r>
        <w:rPr>
          <w:rFonts w:ascii="Arial" w:cs="Arial" w:eastAsia="Arial" w:hAnsi="Arial"/>
          <w:color w:val="2C2C2A"/>
          <w:sz w:val="22"/>
          <w:szCs w:val="22"/>
        </w:rPr>
        <w:t xml:space="preserve">Plan d'amélioration N+1 — actions correctives et axes de développement.</w:t>
      </w:r>
    </w:p>
    <w:p>
      <w:pPr>
        <w:pStyle w:val="ListParagraph"/>
        <w:numPr>
          <w:ilvl w:val="0"/>
          <w:numId w:val="2"/>
        </w:numPr>
        <w:spacing w:after="40" w:before="40" w:line="280"/>
      </w:pPr>
      <w:r>
        <w:rPr>
          <w:rFonts w:ascii="Arial" w:cs="Arial" w:eastAsia="Arial" w:hAnsi="Arial"/>
          <w:color w:val="2C2C2A"/>
          <w:sz w:val="22"/>
          <w:szCs w:val="22"/>
        </w:rPr>
        <w:t xml:space="preserve">Diffusion du bilan : direction, conseil de perfectionnement, équipe pédagogique.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Pour la traçabilité du bilan  </w:t>
            </w:r>
            <w:r>
              <w:rPr>
                <w:rFonts w:ascii="Arial" w:cs="Arial" w:eastAsia="Arial" w:hAnsi="Arial"/>
                <w:color w:val="2C2C2A"/>
                <w:sz w:val="18"/>
                <w:szCs w:val="18"/>
              </w:rPr>
              <w:t xml:space="preserve">Voir le modèle Excel M37 — Registre des mobilités, qui permet de tenir à jour année après année les départs effectifs, les financements mobilisés, et les retours d'expérience. Le registre est l'élément concret demandé en audit.</w:t>
            </w:r>
          </w:p>
        </w:tc>
      </w:tr>
    </w:tbl>
    <w:p>
      <w:pPr>
        <w:spacing w:after="280"/>
      </w:pPr>
      <w:r>
        <w:t xml:space="preserve"/>
      </w:r>
    </w:p>
    <w:p>
      <w:pPr>
        <w:spacing w:after="80" w:before="200" w:line="300"/>
        <w:jc w:val="left"/>
      </w:pPr>
      <w:r>
        <w:rPr>
          <w:rFonts w:ascii="Arial" w:cs="Arial" w:eastAsia="Arial" w:hAnsi="Arial"/>
          <w:b/>
          <w:bCs/>
          <w:color w:val="D85A30"/>
          <w:spacing w:val="30"/>
          <w:sz w:val="18"/>
          <w:szCs w:val="18"/>
        </w:rPr>
        <w:t xml:space="preserve">VALIDATION DU DISPOSITIF</w:t>
      </w:r>
    </w:p>
    <w:p>
      <w:pPr>
        <w:spacing w:after="200" w:before="80" w:line="300"/>
        <w:jc w:val="left"/>
      </w:pPr>
      <w:r>
        <w:rPr>
          <w:rFonts w:ascii="Arial" w:cs="Arial" w:eastAsia="Arial" w:hAnsi="Arial"/>
          <w:b w:val="false"/>
          <w:bCs w:val="false"/>
          <w:i w:val="false"/>
          <w:iCs w:val="false"/>
          <w:color w:val="2C2C2A"/>
          <w:sz w:val="22"/>
          <w:szCs w:val="22"/>
        </w:rPr>
        <w:t xml:space="preserve">Fait à [ ville ], le [ date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80" w:before="0" w:line="300"/>
              <w:jc w:val="left"/>
            </w:pPr>
            <w:r>
              <w:rPr>
                <w:rFonts w:ascii="Arial" w:cs="Arial" w:eastAsia="Arial" w:hAnsi="Arial"/>
                <w:b w:val="false"/>
                <w:bCs w:val="false"/>
                <w:i w:val="false"/>
                <w:iCs w:val="false"/>
                <w:color w:val="5F5E5A"/>
                <w:sz w:val="20"/>
                <w:szCs w:val="20"/>
              </w:rPr>
              <w:t xml:space="preserve">Référent mobilité,</w:t>
            </w:r>
          </w:p>
          <w:p>
            <w:pPr>
              <w:spacing w:after="40" w:before="80" w:line="300"/>
              <w:jc w:val="left"/>
            </w:pPr>
            <w:r>
              <w:rPr>
                <w:rFonts w:ascii="Arial" w:cs="Arial" w:eastAsia="Arial" w:hAnsi="Arial"/>
                <w:b/>
                <w:bCs/>
                <w:i w:val="false"/>
                <w:iCs w:val="false"/>
                <w:color w:val="2C2C2A"/>
                <w:sz w:val="22"/>
                <w:szCs w:val="22"/>
              </w:rPr>
              <w:t xml:space="preserve">[ Prénom NOM ]</w:t>
            </w:r>
          </w:p>
          <w:p>
            <w:pPr>
              <w:spacing w:after="240" w:before="0" w:line="300"/>
              <w:jc w:val="left"/>
            </w:pPr>
            <w:r>
              <w:rPr>
                <w:rFonts w:ascii="Arial" w:cs="Arial" w:eastAsia="Arial" w:hAnsi="Arial"/>
                <w:b w:val="false"/>
                <w:bCs w:val="false"/>
                <w:i w:val="false"/>
                <w:iCs w:val="false"/>
                <w:color w:val="5F5E5A"/>
                <w:sz w:val="20"/>
                <w:szCs w:val="20"/>
              </w:rPr>
              <w:t xml:space="preserve">Approbation</w:t>
            </w:r>
          </w:p>
          <w:p>
            <w:pPr>
              <w:spacing w:after="0" w:before="0" w:line="300"/>
              <w:jc w:val="left"/>
            </w:pPr>
            <w:r>
              <w:rPr>
                <w:rFonts w:ascii="Arial" w:cs="Arial" w:eastAsia="Arial" w:hAnsi="Arial"/>
                <w:b w:val="false"/>
                <w:bCs w:val="false"/>
                <w:i/>
                <w:iCs/>
                <w:color w:val="888780"/>
                <w:sz w:val="18"/>
                <w:szCs w:val="18"/>
              </w:rPr>
              <w:t xml:space="preserve">Signature et cachet :</w:t>
            </w:r>
          </w:p>
          <w:p>
            <w:pPr>
              <w:spacing w:after="800"/>
            </w:pPr>
            <w:r>
              <w:t xml:space="preserve"/>
            </w:r>
          </w:p>
        </w:tc>
        <w:tc>
          <w:tcPr>
            <w:tcW w:type="dxa" w:w="468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80" w:before="0" w:line="300"/>
              <w:jc w:val="left"/>
            </w:pPr>
            <w:r>
              <w:rPr>
                <w:rFonts w:ascii="Arial" w:cs="Arial" w:eastAsia="Arial" w:hAnsi="Arial"/>
                <w:b w:val="false"/>
                <w:bCs w:val="false"/>
                <w:i w:val="false"/>
                <w:iCs w:val="false"/>
                <w:color w:val="5F5E5A"/>
                <w:sz w:val="20"/>
                <w:szCs w:val="20"/>
              </w:rPr>
              <w:t xml:space="preserve">Direction CFA,</w:t>
            </w:r>
          </w:p>
          <w:p>
            <w:pPr>
              <w:spacing w:after="40" w:before="80" w:line="300"/>
              <w:jc w:val="left"/>
            </w:pPr>
            <w:r>
              <w:rPr>
                <w:rFonts w:ascii="Arial" w:cs="Arial" w:eastAsia="Arial" w:hAnsi="Arial"/>
                <w:b w:val="false"/>
                <w:bCs w:val="false"/>
                <w:i/>
                <w:iCs/>
                <w:color w:val="888780"/>
                <w:sz w:val="18"/>
                <w:szCs w:val="18"/>
              </w:rPr>
              <w:t xml:space="preserve">Validation finale</w:t>
            </w:r>
          </w:p>
          <w:p>
            <w:pPr>
              <w:spacing w:after="240" w:before="0" w:line="300"/>
              <w:jc w:val="left"/>
            </w:pPr>
            <w:r>
              <w:rPr>
                <w:rFonts w:ascii="Arial" w:cs="Arial" w:eastAsia="Arial" w:hAnsi="Arial"/>
                <w:b w:val="false"/>
                <w:bCs w:val="false"/>
                <w:i/>
                <w:iCs/>
                <w:color w:val="888780"/>
                <w:sz w:val="18"/>
                <w:szCs w:val="18"/>
              </w:rPr>
              <w:t xml:space="preserve">Fait à [ ville ], le [ date ]</w:t>
            </w:r>
          </w:p>
          <w:p>
            <w:pPr>
              <w:spacing w:after="0" w:before="0" w:line="300"/>
              <w:jc w:val="left"/>
            </w:pPr>
            <w:r>
              <w:rPr>
                <w:rFonts w:ascii="Arial" w:cs="Arial" w:eastAsia="Arial" w:hAnsi="Arial"/>
                <w:b w:val="false"/>
                <w:bCs w:val="false"/>
                <w:i/>
                <w:iCs/>
                <w:color w:val="888780"/>
                <w:sz w:val="18"/>
                <w:szCs w:val="18"/>
              </w:rPr>
              <w:t xml:space="preserve">Signature :</w:t>
            </w:r>
          </w:p>
          <w:p>
            <w:pPr>
              <w:spacing w:after="800"/>
            </w:pPr>
            <w:r>
              <w:t xml:space="preserve"/>
            </w:r>
          </w:p>
        </w:tc>
      </w:tr>
    </w:tbl>
    <w:sectPr>
      <w:headerReference w:type="default" r:id="rId7"/>
      <w:footerReference w:type="default" r:id="rId8"/>
      <w:pgSz w:w="11906" w:h="16838" w:orient="portrait"/>
      <w:pgMar w:top="1200" w:right="1280" w:bottom="1100" w:left="12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jc w:val="center"/>
    </w:pPr>
    <w:r>
      <w:rPr>
        <w:rFonts w:ascii="Arial" w:cs="Arial" w:eastAsia="Arial" w:hAnsi="Arial"/>
        <w:color w:val="888780"/>
        <w:sz w:val="16"/>
        <w:szCs w:val="16"/>
      </w:rPr>
      <w:t xml:space="preserve">Modèle M37 — Dispositif mobilité nationale et internationale (Pédagogique)</w:t>
    </w:r>
    <w:r>
      <w:rPr>
        <w:rFonts w:ascii="Arial" w:cs="Arial" w:eastAsia="Arial" w:hAnsi="Arial"/>
        <w:color w:val="888780"/>
        <w:sz w:val="16"/>
        <w:szCs w:val="16"/>
      </w:rPr>
      <w:t xml:space="preserve">    ·    Page </w:t>
    </w:r>
    <w:r>
      <w:rPr>
        <w:rFonts w:ascii="Arial" w:cs="Arial" w:eastAsia="Arial" w:hAnsi="Arial"/>
        <w:color w:val="888780"/>
        <w:sz w:val="16"/>
        <w:szCs w:val="16"/>
      </w:rPr>
      <w:fldChar w:fldCharType="begin"/>
      <w:instrText xml:space="preserve">PAGE</w:instrText>
      <w:fldChar w:fldCharType="separate"/>
      <w:fldChar w:fldCharType="end"/>
    </w:r>
    <w:r>
      <w:rPr>
        <w:rFonts w:ascii="Arial" w:cs="Arial" w:eastAsia="Arial" w:hAnsi="Arial"/>
        <w:color w:val="888780"/>
        <w:sz w:val="16"/>
        <w:szCs w:val="16"/>
      </w:rPr>
      <w:t xml:space="preserve"> / </w:t>
    </w:r>
    <w:r>
      <w:rPr>
        <w:rFonts w:ascii="Arial" w:cs="Arial" w:eastAsia="Arial" w:hAnsi="Arial"/>
        <w:color w:val="8887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spacing w:after="100"/>
      <w:jc w:val="right"/>
    </w:pPr>
    <w:r>
      <w:rPr>
        <w:rFonts w:ascii="Arial" w:cs="Arial" w:eastAsia="Arial" w:hAnsi="Arial"/>
        <w:i/>
        <w:iCs/>
        <w:color w:val="888780"/>
        <w:sz w:val="16"/>
        <w:szCs w:val="16"/>
      </w:rPr>
      <w:t xml:space="preserve">Modèle M37 — Dispositif mobilité nationale et internationale (Pédagogique)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b/>
        <w:bCs/>
        <w:color w:val="D85A3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0F2A47"/>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0F2A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M37 — Dispositif mobilité nationale et internationale (Pédagogique)</dc:title>
  <dc:creator>So Forma — Production Qualiopi</dc:creator>
  <dc:description>Modèle Qualiopi — Charte 2026</dc:description>
  <cp:lastModifiedBy>Un-named</cp:lastModifiedBy>
  <cp:revision>1</cp:revision>
  <dcterms:created xsi:type="dcterms:W3CDTF">2026-05-14T18:05:43.706Z</dcterms:created>
  <dcterms:modified xsi:type="dcterms:W3CDTF">2026-05-14T18:05:43.708Z</dcterms:modified>
</cp:coreProperties>
</file>

<file path=docProps/custom.xml><?xml version="1.0" encoding="utf-8"?>
<Properties xmlns="http://schemas.openxmlformats.org/officeDocument/2006/custom-properties" xmlns:vt="http://schemas.openxmlformats.org/officeDocument/2006/docPropsVTypes"/>
</file>