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0"/>
        <w:jc w:val="center"/>
      </w:pPr>
      <w:r>
        <w:rPr>
          <w:b/>
          <w:bCs/>
          <w:color w:val="D85A30"/>
          <w:spacing w:val="120"/>
          <w:sz w:val="18"/>
          <w:szCs w:val="18"/>
        </w:rPr>
        <w:t xml:space="preserve">MODÈLE QUALIOPI · BASE DOCUMENTAIRE · CRITÈRE 2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Charte de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0F2A47"/>
          <w:sz w:val="64"/>
          <w:szCs w:val="64"/>
        </w:rPr>
        <w:t xml:space="preserve">déontologie BC.</w:t>
      </w:r>
    </w:p>
    <w:p>
      <w:pPr>
        <w:spacing w:after="1200"/>
        <w:jc w:val="center"/>
      </w:pPr>
      <w:r>
        <w:rPr>
          <w:i/>
          <w:iCs/>
          <w:color w:val="5F5E5A"/>
          <w:sz w:val="22"/>
          <w:szCs w:val="22"/>
        </w:rPr>
        <w:t xml:space="preserve">Principes éthiques du Bilan de Compétences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QUAND UTILISER CE MODÈLE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Cette charte est remise et signée en début de Bilan de Compétences, conjointement à l'accord de confidentialité.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Elle pose les principes éthiques de votre intervention et engage à la fois le conseiller et le bénéficiaire.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À afficher ou à remettre systématiquement avant la première séance.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85A30" w:sz="24"/>
              <w:bottom w:val="none" w:color="FFFFFF" w:sz="0"/>
              <w:right w:val="none" w:color="FFFFFF" w:sz="0"/>
            </w:tcBorders>
            <w:shd w:fill="FAEC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b/>
                <w:bCs/>
                <w:color w:val="D85A30"/>
                <w:spacing w:val="80"/>
                <w:sz w:val="16"/>
                <w:szCs w:val="16"/>
              </w:rPr>
              <w:t xml:space="preserve">INDICATEURS QUALIOPI COUVERTS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Ind. 4 (Majeure BC) — Cadre déontologique de la prestation.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Ind. 30 — Engagement de recueil des appréciations.</w:t>
            </w:r>
          </w:p>
          <w:p>
            <w:pPr>
              <w:spacing w:after="60"/>
            </w:pPr>
            <w:r>
              <w:rPr>
                <w:color w:val="0F2A47"/>
                <w:sz w:val="20"/>
                <w:szCs w:val="20"/>
              </w:rPr>
              <w:t xml:space="preserve">Ind. 32 — Démarche d'amélioration continue.</w:t>
            </w:r>
          </w:p>
        </w:tc>
      </w:tr>
    </w:tbl>
    <w:p>
      <w:r>
        <w:br w:type="page"/>
      </w:r>
    </w:p>
    <w:p>
      <w:pPr>
        <w:spacing w:after="80" w:before="0"/>
        <w:jc w:val="center"/>
      </w:pPr>
      <w:r>
        <w:rPr>
          <w:b/>
          <w:bCs/>
          <w:color w:val="0F2A47"/>
          <w:sz w:val="28"/>
          <w:szCs w:val="28"/>
        </w:rPr>
        <w:t xml:space="preserve">CHARTE DE DÉONTOLOGIE</w:t>
      </w:r>
    </w:p>
    <w:p>
      <w:pPr>
        <w:spacing w:after="400"/>
        <w:jc w:val="center"/>
      </w:pPr>
      <w:r>
        <w:rPr>
          <w:b/>
          <w:bCs/>
          <w:color w:val="0F2A47"/>
          <w:sz w:val="28"/>
          <w:szCs w:val="28"/>
        </w:rPr>
        <w:t xml:space="preserve">DU BILAN DE COMPÉTENCES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Préambule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Bilan de Compétences est un processus d'accompagnement visant à permettre à un individu d'analyser ses compétences, ses motivations et ses perspectives d'évolution professionnelle. Il repose sur des principes éthiques et déontologiques garantissant un cadre de travail respectueux, bienveillant et confidentiel.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présente charte s'applique à l'ensemble des professionnels réalisant des Bilans de Compétences au sein de l'Organisme et engage l'Organisme et le Bénéficiaire à respecter les principes énoncés ci-dessous.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1. Respect de la personne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Bilan de Compétences est réalisé dans un cadre bienveillant, neutre et sans jugement.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bénéficiaire est acteur de son propre bilan, et son consentement éclairé est recueilli à chaque étape.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respect des choix, des opinions et des valeurs du bénéficiaire est fondamental.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2. Confidentialité et discrétion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Toutes les informations personnelles et professionnelles échangées dans le cadre du bilan sont strictement confidentielles.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Aucun renseignement ne peut être communiqué à un tiers sans l'accord écrit du bénéficiaire.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documents de travail et la synthèse du bilan restent la propriété exclusive du bénéficiaire.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Cette confidentialité est un attendu fort du Code du travail (Art. L.6313-4). Elle s'applique même vis-à-vis du financeur.</w:t>
            </w:r>
          </w:p>
        </w:tc>
      </w:tr>
    </w:tbl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3. Transparence et engagement professionnel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déroulement du bilan est clairement expliqué au bénéficiaire dès le début de l'accompagnement.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méthodes, outils et supports utilisés sont adaptés aux besoins et aux objectifs du bénéficiaire.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L'accompagnement est réalisé dans un cadre légal et conforme aux exigences de la profession (Art. R.6313-4 et suivants du Code du travail).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4. Impartialité et objectivité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conseiller en Bilan de Compétences adopte une posture neutre et professionnelle.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Aucune orientation forcée ou influencée par des intérêts personnels ou commerciaux ne doit être exercée.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bénéficiaire est accompagné dans une réflexion autonome et éclairée sur son avenir professionnel.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L'absence d'orientation commerciale est un point d'audit récurrent : un conseiller BC ne peut pas vendre une formation que son propre organisme propose dans la foulée.</w:t>
            </w:r>
          </w:p>
        </w:tc>
      </w:tr>
    </w:tbl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5. Responsabilité et engagement éthique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conseiller en Bilan de Compétences s'engage à accompagner le bénéficiaire avec sérieux et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Il veille à ce que les informations transmises soient justes, pertinentes et vérifiables.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Il oriente, si nécessaire, le bénéficiaire vers des professionnels compétents (formation, recrutement, coaching).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6. Droit à l'information et libre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bénéficiaire est libre d'interrompre son bilan à tout moment, dans le respect des conditions définies au préalable.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bilan ne peut être imposé et doit résulter d'une démarche volontaire.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L'information sur les modalités, les finalités et les conditions de réalisation du bilan est communiquée en toute transparence.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7. Qualité et amélioration continue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L'organisme de Bilan de Compétences veille à la qualité de son accompagnement et met en place des dispositifs d'évaluation.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conseiller s'engage à actualiser régulièrement ses connaissances et ses méthodes d'accompagnement (formation continue — Ind. 22 RNQ).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Une veille professionnelle et une réflexion continue sur les pratiques sont encouragées (Ind. 22 et 24 RNQ).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retours du bénéficiaire (à chaud et à froid) sont recueillis pour alimenter la démarche d'amélioration continue (Ind. 30 et 32 RNQ).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8. Accueil des personnes en situation de handicap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L'Organisme s'engage à accueillir les bénéficiaires en situation de handicap dans les meilleures conditions et à étudier toute demande d'aménagement (durée, format, supports, accessibilité des locaux).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Référent handicap : </w:t>
      </w:r>
      <w:r>
        <w:rPr>
          <w:i/>
          <w:iCs/>
          <w:color w:val="888780"/>
          <w:sz w:val="22"/>
          <w:szCs w:val="22"/>
        </w:rPr>
        <w:t xml:space="preserve">[ Nom Prénom – Mail – Téléphone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98D2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854F0B"/>
                <w:spacing w:val="40"/>
                <w:sz w:val="18"/>
                <w:szCs w:val="18"/>
              </w:rPr>
              <w:t xml:space="preserve">Note RNQ · </w:t>
            </w:r>
            <w:r>
              <w:rPr>
                <w:i/>
                <w:iCs/>
                <w:color w:val="854F0B"/>
                <w:sz w:val="18"/>
                <w:szCs w:val="18"/>
              </w:rPr>
              <w:t xml:space="preserve">Indicateur 26 Majeure — Ajout par rapport à la trame d'origine pour conformité Qualiopi 2025.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6"/>
          <w:szCs w:val="26"/>
        </w:rPr>
        <w:t xml:space="preserve">Engagement des parties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En signant cette charte, le conseiller et le bénéficiaire reconnaissent l'importance des principes éthiques et s'engagent à les respecter tout au long du Bilan de Compétences.</w:t>
      </w:r>
    </w:p>
    <w:p>
      <w:pPr>
        <w:spacing w:after="30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📍  Fait à : </w:t>
      </w:r>
      <w:r>
        <w:rPr>
          <w:i/>
          <w:iCs/>
          <w:color w:val="888780"/>
          <w:sz w:val="22"/>
          <w:szCs w:val="22"/>
        </w:rPr>
        <w:t xml:space="preserve">[ Ville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📆  Le :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Conseiller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Bénéficiaire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color w:val="888780"/>
        <w:sz w:val="16"/>
        <w:szCs w:val="16"/>
      </w:rPr>
      <w:t xml:space="preserve">Qualiopi · RNQ · Base documentaire</w:t>
    </w:r>
    <w:r>
      <w:rPr>
        <w:color w:val="888780"/>
        <w:sz w:val="16"/>
        <w:szCs w:val="16"/>
      </w:rPr>
      <w:t xml:space="preserve">	</w:t>
    </w:r>
    <w:r>
      <w:rPr>
        <w:i/>
        <w:iCs/>
        <w:color w:val="888780"/>
        <w:sz w:val="16"/>
        <w:szCs w:val="16"/>
      </w:rPr>
      <w:t xml:space="preserve">Charte déontologie BC · v1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rPr>
        <w:b/>
        <w:bCs/>
        <w:color w:val="0F2A47"/>
        <w:spacing w:val="60"/>
        <w:sz w:val="18"/>
        <w:szCs w:val="18"/>
      </w:rPr>
      <w:t xml:space="preserve">Charte de déontologie BC</w:t>
    </w:r>
  </w:p>
  <w:p>
    <w:pPr>
      <w:pBdr>
        <w:bottom w:color="D85A30" w:sz="6" w:space="6"/>
      </w:pBdr>
    </w:pPr>
    <w:r>
      <w:rPr>
        <w:b/>
        <w:bCs/>
        <w:color w:val="D85A30"/>
        <w:spacing w:val="60"/>
        <w:sz w:val="16"/>
        <w:szCs w:val="16"/>
      </w:rPr>
      <w:t xml:space="preserve">Modèle Qualiopi · Critère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2026-05-13T18:58:36.029Z</dcterms:created>
  <dcterms:modified xsi:type="dcterms:W3CDTF">2026-05-13T18:58:36.030Z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