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Référence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NOTE-COORD-EQUIPE-V1.0</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d'application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Périmètre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Équipe pédagogique permanente + intervenants externes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Validateur</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Direction — Responsable pédagogique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Périodicité de revue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Annuelle (à chaque rentrée pédagogique)</w:t>
            </w:r>
          </w:p>
        </w:tc>
      </w:tr>
    </w:tbl>
    <w:p>
      <w:pPr>
        <w:spacing w:after="160"/>
      </w:pPr>
      <w:r>
        <w:t xml:space="preserve"/>
      </w:r>
    </w:p>
    <w:p>
      <w:pPr>
        <w:pStyle w:val="Heading2"/>
        <w:spacing w:after="140" w:before="320"/>
      </w:pPr>
      <w:r>
        <w:rPr>
          <w:rFonts w:ascii="Arial" w:cs="Arial" w:eastAsia="Arial" w:hAnsi="Arial"/>
          <w:b/>
          <w:bCs/>
          <w:color w:val="0F2A47"/>
          <w:sz w:val="26"/>
          <w:szCs w:val="26"/>
        </w:rPr>
        <w:t xml:space="preserve">1 · Finalité de la coordination</w:t>
      </w:r>
    </w:p>
    <w:p>
      <w:pPr>
        <w:spacing w:after="100" w:before="80" w:line="300"/>
        <w:jc w:val="left"/>
      </w:pPr>
      <w:r>
        <w:rPr>
          <w:rFonts w:ascii="Arial" w:cs="Arial" w:eastAsia="Arial" w:hAnsi="Arial"/>
          <w:b w:val="false"/>
          <w:bCs w:val="false"/>
          <w:i w:val="false"/>
          <w:iCs w:val="false"/>
          <w:color w:val="2C2C2A"/>
          <w:sz w:val="22"/>
          <w:szCs w:val="22"/>
        </w:rPr>
        <w:t xml:space="preserve">L'efficacité d'une prestation de formation repose sur une équipe pédagogique articulée, où chaque acteur connaît son rôle, ses interfaces, et les rythmes de coordination. La présente note formalise cette organisation pour :</w:t>
      </w:r>
    </w:p>
    <w:p>
      <w:pPr>
        <w:pStyle w:val="ListParagraph"/>
        <w:numPr>
          <w:ilvl w:val="0"/>
          <w:numId w:val="2"/>
        </w:numPr>
        <w:spacing w:after="40" w:before="40" w:line="280"/>
      </w:pPr>
      <w:r>
        <w:rPr>
          <w:rFonts w:ascii="Arial" w:cs="Arial" w:eastAsia="Arial" w:hAnsi="Arial"/>
          <w:color w:val="2C2C2A"/>
          <w:sz w:val="22"/>
          <w:szCs w:val="22"/>
        </w:rPr>
        <w:t xml:space="preserve">Garantir la cohérence pédagogique entre les intervenants d'une même action (multi-formateurs).</w:t>
      </w:r>
    </w:p>
    <w:p>
      <w:pPr>
        <w:pStyle w:val="ListParagraph"/>
        <w:numPr>
          <w:ilvl w:val="0"/>
          <w:numId w:val="2"/>
        </w:numPr>
        <w:spacing w:after="40" w:before="40" w:line="280"/>
      </w:pPr>
      <w:r>
        <w:rPr>
          <w:rFonts w:ascii="Arial" w:cs="Arial" w:eastAsia="Arial" w:hAnsi="Arial"/>
          <w:color w:val="2C2C2A"/>
          <w:sz w:val="22"/>
          <w:szCs w:val="22"/>
        </w:rPr>
        <w:t xml:space="preserve">Assurer la continuité du suivi entre les phases (accueil → animation → évaluation → bilan).</w:t>
      </w:r>
    </w:p>
    <w:p>
      <w:pPr>
        <w:pStyle w:val="ListParagraph"/>
        <w:numPr>
          <w:ilvl w:val="0"/>
          <w:numId w:val="2"/>
        </w:numPr>
        <w:spacing w:after="40" w:before="40" w:line="280"/>
      </w:pPr>
      <w:r>
        <w:rPr>
          <w:rFonts w:ascii="Arial" w:cs="Arial" w:eastAsia="Arial" w:hAnsi="Arial"/>
          <w:color w:val="2C2C2A"/>
          <w:sz w:val="22"/>
          <w:szCs w:val="22"/>
        </w:rPr>
        <w:t xml:space="preserve">Maintenir un dialogue régulier entre formateurs internes et externes (sous-traitants).</w:t>
      </w:r>
    </w:p>
    <w:p>
      <w:pPr>
        <w:pStyle w:val="ListParagraph"/>
        <w:numPr>
          <w:ilvl w:val="0"/>
          <w:numId w:val="2"/>
        </w:numPr>
        <w:spacing w:after="40" w:before="40" w:line="280"/>
      </w:pPr>
      <w:r>
        <w:rPr>
          <w:rFonts w:ascii="Arial" w:cs="Arial" w:eastAsia="Arial" w:hAnsi="Arial"/>
          <w:color w:val="2C2C2A"/>
          <w:sz w:val="22"/>
          <w:szCs w:val="22"/>
        </w:rPr>
        <w:t xml:space="preserve">Faire remonter les difficultés terrain (bénéficiaires, contenus, organisation) sans délai.</w:t>
      </w:r>
    </w:p>
    <w:p>
      <w:pPr>
        <w:pStyle w:val="ListParagraph"/>
        <w:numPr>
          <w:ilvl w:val="0"/>
          <w:numId w:val="2"/>
        </w:numPr>
        <w:spacing w:after="40" w:before="40" w:line="280"/>
      </w:pPr>
      <w:r>
        <w:rPr>
          <w:rFonts w:ascii="Arial" w:cs="Arial" w:eastAsia="Arial" w:hAnsi="Arial"/>
          <w:color w:val="2C2C2A"/>
          <w:sz w:val="22"/>
          <w:szCs w:val="22"/>
        </w:rPr>
        <w:t xml:space="preserve">Préserver une dynamique d'amélioration continue alimentée par les retours de tous.</w:t>
      </w:r>
    </w:p>
    <w:p>
      <w:pPr>
        <w:pStyle w:val="Heading2"/>
        <w:spacing w:after="140" w:before="320"/>
      </w:pPr>
      <w:r>
        <w:rPr>
          <w:rFonts w:ascii="Arial" w:cs="Arial" w:eastAsia="Arial" w:hAnsi="Arial"/>
          <w:b/>
          <w:bCs/>
          <w:color w:val="0F2A47"/>
          <w:sz w:val="26"/>
          <w:szCs w:val="26"/>
        </w:rPr>
        <w:t xml:space="preserve">2 · Organigramme pédagogique</w:t>
      </w:r>
    </w:p>
    <w:p>
      <w:pPr>
        <w:spacing w:after="120" w:before="80" w:line="300"/>
        <w:jc w:val="left"/>
      </w:pPr>
      <w:r>
        <w:rPr>
          <w:rFonts w:ascii="Arial" w:cs="Arial" w:eastAsia="Arial" w:hAnsi="Arial"/>
          <w:b w:val="false"/>
          <w:bCs w:val="false"/>
          <w:i w:val="false"/>
          <w:iCs w:val="false"/>
          <w:color w:val="2C2C2A"/>
          <w:sz w:val="22"/>
          <w:szCs w:val="22"/>
        </w:rPr>
        <w:t xml:space="preserve">L'équipe pédagogique de l'organisme est structurée comme suit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rPr>
          <w:tblHeader/>
        </w:trPr>
        <w:tc>
          <w:tcPr>
            <w:tcW w:type="dxa" w:w="32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Fonction</w:t>
            </w:r>
          </w:p>
        </w:tc>
        <w:tc>
          <w:tcPr>
            <w:tcW w:type="dxa" w:w="44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Rôle pédagogique principal</w:t>
            </w:r>
          </w:p>
        </w:tc>
        <w:tc>
          <w:tcPr>
            <w:tcW w:type="dxa" w:w="17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Niveau de décision</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Direction générale</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Validation des certifications, des recrutements stratégiques, du budget pédagogique</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Décisionnel</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Responsable pédagogique</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Conception programmes (M5, M18), supervision animation, habilitation intervenants (M36)</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Décisionnel opérationnel</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Référent qualité Qualiopi</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Veille référentielle (Ind. 21), audits internes, suivi indicateurs M7</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Conseil et alerte</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Référent handicap</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Instruction demandes PSH, adaptations, lien avec partenaires (Cap emploi, MDPH)</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Décisionnel sur adaptations</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Formateurs internes (salariés)</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Animation actions, évaluation acquis, suivi individuel (M28), évaluation à chaud</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Opérationnel</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Formateurs externes (sous-traitants)</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Animation actions spécifiques selon habilitation (M37), respect des modèles M26 / M29</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Opérationnel (cadré)</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Tuteurs / maîtres d'apprentissage (CFA)</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Encadrement en entreprise (apprentissage) — liaison école/entreprise</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Opérationnel terrain</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Personnel administratif</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Gestion administrative : conventions, financements, archivage, relances assiduité</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Support opérationnel</w:t>
            </w:r>
          </w:p>
        </w:tc>
      </w:tr>
    </w:tbl>
    <w:p>
      <w:pPr>
        <w:pStyle w:val="Heading2"/>
        <w:spacing w:after="140" w:before="320"/>
      </w:pPr>
      <w:r>
        <w:rPr>
          <w:rFonts w:ascii="Arial" w:cs="Arial" w:eastAsia="Arial" w:hAnsi="Arial"/>
          <w:b/>
          <w:bCs/>
          <w:color w:val="0F2A47"/>
          <w:sz w:val="26"/>
          <w:szCs w:val="26"/>
        </w:rPr>
        <w:t xml:space="preserve">3 · Instances et rythmes de coordination</w:t>
      </w:r>
    </w:p>
    <w:p>
      <w:pPr>
        <w:spacing w:after="80" w:before="200" w:line="300"/>
        <w:jc w:val="left"/>
      </w:pPr>
      <w:r>
        <w:rPr>
          <w:rFonts w:ascii="Arial" w:cs="Arial" w:eastAsia="Arial" w:hAnsi="Arial"/>
          <w:b/>
          <w:bCs/>
          <w:color w:val="D85A30"/>
          <w:spacing w:val="30"/>
          <w:sz w:val="18"/>
          <w:szCs w:val="18"/>
        </w:rPr>
        <w:t xml:space="preserve">3.1 · RÉUNION D'ÉQUIPE PÉDAGOGIQUE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Périodicité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Mensuelle (1er jeudi du mois, 14h-16h)</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Participants obligatoires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Direction, Responsable pédagogique, Référent qualité, Formateurs salariés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Participants invités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Formateurs externes (sur ordre du jour) — au moins 1 réunion/an</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Modalité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Présentiel (siège) — visioconférence possible pour les externes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Format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Ordre du jour communiqué J-3 — compte-rendu diffusé J+3</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Ordre du jour type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Sessions en cours · Indicateurs · Retours bénéficiaires · Plan d'amélioration · Veille</w:t>
            </w:r>
          </w:p>
        </w:tc>
      </w:tr>
    </w:tbl>
    <w:p>
      <w:pPr>
        <w:spacing w:after="120"/>
      </w:pPr>
      <w:r>
        <w:t xml:space="preserve"/>
      </w:r>
    </w:p>
    <w:p>
      <w:pPr>
        <w:spacing w:after="80" w:before="200" w:line="300"/>
        <w:jc w:val="left"/>
      </w:pPr>
      <w:r>
        <w:rPr>
          <w:rFonts w:ascii="Arial" w:cs="Arial" w:eastAsia="Arial" w:hAnsi="Arial"/>
          <w:b/>
          <w:bCs/>
          <w:color w:val="D85A30"/>
          <w:spacing w:val="30"/>
          <w:sz w:val="18"/>
          <w:szCs w:val="18"/>
        </w:rPr>
        <w:t xml:space="preserve">3.2 · BRIEFING DE DÉMARRAGE D'ACTION</w:t>
      </w:r>
    </w:p>
    <w:p>
      <w:pPr>
        <w:pStyle w:val="ListParagraph"/>
        <w:numPr>
          <w:ilvl w:val="0"/>
          <w:numId w:val="2"/>
        </w:numPr>
        <w:spacing w:after="40" w:before="40" w:line="280"/>
      </w:pPr>
      <w:r>
        <w:rPr>
          <w:rFonts w:ascii="Arial" w:cs="Arial" w:eastAsia="Arial" w:hAnsi="Arial"/>
          <w:color w:val="2C2C2A"/>
          <w:sz w:val="22"/>
          <w:szCs w:val="22"/>
        </w:rPr>
        <w:t xml:space="preserve">Avant chaque démarrage de nouvelle action : briefing 1h obligatoire avec tous les intervenants.</w:t>
      </w:r>
    </w:p>
    <w:p>
      <w:pPr>
        <w:pStyle w:val="ListParagraph"/>
        <w:numPr>
          <w:ilvl w:val="0"/>
          <w:numId w:val="2"/>
        </w:numPr>
        <w:spacing w:after="40" w:before="40" w:line="280"/>
      </w:pPr>
      <w:r>
        <w:rPr>
          <w:rFonts w:ascii="Arial" w:cs="Arial" w:eastAsia="Arial" w:hAnsi="Arial"/>
          <w:color w:val="2C2C2A"/>
          <w:sz w:val="22"/>
          <w:szCs w:val="22"/>
        </w:rPr>
        <w:t xml:space="preserve">Objet : objectifs pédagogiques, profils des inscrits, adaptations spécifiques, planification.</w:t>
      </w:r>
    </w:p>
    <w:p>
      <w:pPr>
        <w:pStyle w:val="ListParagraph"/>
        <w:numPr>
          <w:ilvl w:val="0"/>
          <w:numId w:val="2"/>
        </w:numPr>
        <w:spacing w:after="40" w:before="40" w:line="280"/>
      </w:pPr>
      <w:r>
        <w:rPr>
          <w:rFonts w:ascii="Arial" w:cs="Arial" w:eastAsia="Arial" w:hAnsi="Arial"/>
          <w:color w:val="2C2C2A"/>
          <w:sz w:val="22"/>
          <w:szCs w:val="22"/>
        </w:rPr>
        <w:t xml:space="preserve">Trace : compte-rendu envoyé J+1 + intégration au dossier session.</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3.3 · POINT D'ÉTAPE MI-PARCOURS</w:t>
      </w:r>
    </w:p>
    <w:p>
      <w:pPr>
        <w:pStyle w:val="ListParagraph"/>
        <w:numPr>
          <w:ilvl w:val="0"/>
          <w:numId w:val="2"/>
        </w:numPr>
        <w:spacing w:after="40" w:before="40" w:line="280"/>
      </w:pPr>
      <w:r>
        <w:rPr>
          <w:rFonts w:ascii="Arial" w:cs="Arial" w:eastAsia="Arial" w:hAnsi="Arial"/>
          <w:color w:val="2C2C2A"/>
          <w:sz w:val="22"/>
          <w:szCs w:val="22"/>
        </w:rPr>
        <w:t xml:space="preserve">Pour les actions ≥ 5 jours : point d'étape entre intervenants à mi-parcours (30 min visio).</w:t>
      </w:r>
    </w:p>
    <w:p>
      <w:pPr>
        <w:pStyle w:val="ListParagraph"/>
        <w:numPr>
          <w:ilvl w:val="0"/>
          <w:numId w:val="2"/>
        </w:numPr>
        <w:spacing w:after="40" w:before="40" w:line="280"/>
      </w:pPr>
      <w:r>
        <w:rPr>
          <w:rFonts w:ascii="Arial" w:cs="Arial" w:eastAsia="Arial" w:hAnsi="Arial"/>
          <w:color w:val="2C2C2A"/>
          <w:sz w:val="22"/>
          <w:szCs w:val="22"/>
        </w:rPr>
        <w:t xml:space="preserve">Objet : synthèse progression, signalements, ajustements à apporter en seconde partie.</w:t>
      </w:r>
    </w:p>
    <w:p>
      <w:pPr>
        <w:pStyle w:val="ListParagraph"/>
        <w:numPr>
          <w:ilvl w:val="0"/>
          <w:numId w:val="2"/>
        </w:numPr>
        <w:spacing w:after="40" w:before="40" w:line="280"/>
      </w:pPr>
      <w:r>
        <w:rPr>
          <w:rFonts w:ascii="Arial" w:cs="Arial" w:eastAsia="Arial" w:hAnsi="Arial"/>
          <w:color w:val="2C2C2A"/>
          <w:sz w:val="22"/>
          <w:szCs w:val="22"/>
        </w:rPr>
        <w:t xml:space="preserve">Trace : courte note partagée sur l'espace équipe.</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3.4 · DEBRIEFING FIN D'ACTION</w:t>
      </w:r>
    </w:p>
    <w:p>
      <w:pPr>
        <w:pStyle w:val="ListParagraph"/>
        <w:numPr>
          <w:ilvl w:val="0"/>
          <w:numId w:val="2"/>
        </w:numPr>
        <w:spacing w:after="40" w:before="40" w:line="280"/>
      </w:pPr>
      <w:r>
        <w:rPr>
          <w:rFonts w:ascii="Arial" w:cs="Arial" w:eastAsia="Arial" w:hAnsi="Arial"/>
          <w:color w:val="2C2C2A"/>
          <w:sz w:val="22"/>
          <w:szCs w:val="22"/>
        </w:rPr>
        <w:t xml:space="preserve">Sous 5 jours après la clôture : retour à chaud entre intervenants (45 min).</w:t>
      </w:r>
    </w:p>
    <w:p>
      <w:pPr>
        <w:pStyle w:val="ListParagraph"/>
        <w:numPr>
          <w:ilvl w:val="0"/>
          <w:numId w:val="2"/>
        </w:numPr>
        <w:spacing w:after="40" w:before="40" w:line="280"/>
      </w:pPr>
      <w:r>
        <w:rPr>
          <w:rFonts w:ascii="Arial" w:cs="Arial" w:eastAsia="Arial" w:hAnsi="Arial"/>
          <w:color w:val="2C2C2A"/>
          <w:sz w:val="22"/>
          <w:szCs w:val="22"/>
        </w:rPr>
        <w:t xml:space="preserve">Objet : ce qui a marché, ce qui n'a pas marché, ajustements pour la prochaine session.</w:t>
      </w:r>
    </w:p>
    <w:p>
      <w:pPr>
        <w:pStyle w:val="ListParagraph"/>
        <w:numPr>
          <w:ilvl w:val="0"/>
          <w:numId w:val="2"/>
        </w:numPr>
        <w:spacing w:after="40" w:before="40" w:line="280"/>
      </w:pPr>
      <w:r>
        <w:rPr>
          <w:rFonts w:ascii="Arial" w:cs="Arial" w:eastAsia="Arial" w:hAnsi="Arial"/>
          <w:color w:val="2C2C2A"/>
          <w:sz w:val="22"/>
          <w:szCs w:val="22"/>
        </w:rPr>
        <w:t xml:space="preserve">Trace : intégration des points dans le registre d'amélioration continue (Ind. 32).</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3.5 · ENTRETIEN ANNUEL FORMATEUR</w:t>
      </w:r>
    </w:p>
    <w:p>
      <w:pPr>
        <w:pStyle w:val="ListParagraph"/>
        <w:numPr>
          <w:ilvl w:val="0"/>
          <w:numId w:val="2"/>
        </w:numPr>
        <w:spacing w:after="40" w:before="40" w:line="280"/>
      </w:pPr>
      <w:r>
        <w:rPr>
          <w:rFonts w:ascii="Arial" w:cs="Arial" w:eastAsia="Arial" w:hAnsi="Arial"/>
          <w:color w:val="2C2C2A"/>
          <w:sz w:val="22"/>
          <w:szCs w:val="22"/>
        </w:rPr>
        <w:t xml:space="preserve">Chaque intervenant rencontre le Responsable pédagogique en entretien annuel (1h).</w:t>
      </w:r>
    </w:p>
    <w:p>
      <w:pPr>
        <w:pStyle w:val="ListParagraph"/>
        <w:numPr>
          <w:ilvl w:val="0"/>
          <w:numId w:val="2"/>
        </w:numPr>
        <w:spacing w:after="40" w:before="40" w:line="280"/>
      </w:pPr>
      <w:r>
        <w:rPr>
          <w:rFonts w:ascii="Arial" w:cs="Arial" w:eastAsia="Arial" w:hAnsi="Arial"/>
          <w:color w:val="2C2C2A"/>
          <w:sz w:val="22"/>
          <w:szCs w:val="22"/>
        </w:rPr>
        <w:t xml:space="preserve">Objet : bilan année écoulée + objectifs N+1 + plan de développement individuel (M35).</w:t>
      </w:r>
    </w:p>
    <w:p>
      <w:pPr>
        <w:pStyle w:val="ListParagraph"/>
        <w:numPr>
          <w:ilvl w:val="0"/>
          <w:numId w:val="2"/>
        </w:numPr>
        <w:spacing w:after="40" w:before="40" w:line="280"/>
      </w:pPr>
      <w:r>
        <w:rPr>
          <w:rFonts w:ascii="Arial" w:cs="Arial" w:eastAsia="Arial" w:hAnsi="Arial"/>
          <w:color w:val="2C2C2A"/>
          <w:sz w:val="22"/>
          <w:szCs w:val="22"/>
        </w:rPr>
        <w:t xml:space="preserve">Trace : compte-rendu d'entretien signé par les deux parties.</w:t>
      </w:r>
    </w:p>
    <w:p>
      <w:pPr>
        <w:pStyle w:val="Heading2"/>
        <w:spacing w:after="140" w:before="320"/>
      </w:pPr>
      <w:r>
        <w:rPr>
          <w:rFonts w:ascii="Arial" w:cs="Arial" w:eastAsia="Arial" w:hAnsi="Arial"/>
          <w:b/>
          <w:bCs/>
          <w:color w:val="0F2A47"/>
          <w:sz w:val="26"/>
          <w:szCs w:val="26"/>
        </w:rPr>
        <w:t xml:space="preserve">4 · Outils de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Outil</w:t>
            </w:r>
          </w:p>
        </w:tc>
        <w:tc>
          <w:tcPr>
            <w:tcW w:type="dxa" w:w="45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Usage</w:t>
            </w:r>
          </w:p>
        </w:tc>
        <w:tc>
          <w:tcPr>
            <w:tcW w:type="dxa" w:w="20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Accès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Plateforme LMS</w:t>
            </w:r>
          </w:p>
        </w:tc>
        <w:tc>
          <w:tcPr>
            <w:tcW w:type="dxa" w:w="4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Supports pédagogiques, suivi des bénéficiaires, échanges asynchrones</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Tous les formateurs habilités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Espace partagé (Drive / Teams / SharePoint)</w:t>
            </w:r>
          </w:p>
        </w:tc>
        <w:tc>
          <w:tcPr>
            <w:tcW w:type="dxa" w:w="4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Modèles documentaires (M1 à M40), CR de réunions, ressources</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Tous (avec droits)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Messagerie d'équipe</w:t>
            </w:r>
          </w:p>
        </w:tc>
        <w:tc>
          <w:tcPr>
            <w:tcW w:type="dxa" w:w="4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Communication rapide, signalements, organisation</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Équipe pédagogique</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Tableau de bord qualité</w:t>
            </w:r>
          </w:p>
        </w:tc>
        <w:tc>
          <w:tcPr>
            <w:tcW w:type="dxa" w:w="4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Indicateurs en temps réel (assiduité, satisfaction, réussite)</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Resp. péda + Référent qualité</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Registre d'amélioration</w:t>
            </w:r>
          </w:p>
        </w:tc>
        <w:tc>
          <w:tcPr>
            <w:tcW w:type="dxa" w:w="4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Capitalisation des ajustements et plans d'action (Ind. 32)</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Équipe pédagogique</w:t>
            </w:r>
          </w:p>
        </w:tc>
      </w:tr>
    </w:tbl>
    <w:p>
      <w:pPr>
        <w:pStyle w:val="Heading2"/>
        <w:spacing w:after="140" w:before="320"/>
      </w:pPr>
      <w:r>
        <w:rPr>
          <w:rFonts w:ascii="Arial" w:cs="Arial" w:eastAsia="Arial" w:hAnsi="Arial"/>
          <w:b/>
          <w:bCs/>
          <w:color w:val="0F2A47"/>
          <w:sz w:val="26"/>
          <w:szCs w:val="26"/>
        </w:rPr>
        <w:t xml:space="preserve">5 · Cas spécifiques de coordination</w:t>
      </w:r>
    </w:p>
    <w:p>
      <w:pPr>
        <w:spacing w:after="80" w:before="200" w:line="300"/>
        <w:jc w:val="left"/>
      </w:pPr>
      <w:r>
        <w:rPr>
          <w:rFonts w:ascii="Arial" w:cs="Arial" w:eastAsia="Arial" w:hAnsi="Arial"/>
          <w:b/>
          <w:bCs/>
          <w:color w:val="D85A30"/>
          <w:spacing w:val="30"/>
          <w:sz w:val="18"/>
          <w:szCs w:val="18"/>
        </w:rPr>
        <w:t xml:space="preserve">5.1 · MULTI-INTERVENANTS SUR UNE MÊME ACTION</w:t>
      </w:r>
    </w:p>
    <w:p>
      <w:pPr>
        <w:pStyle w:val="ListParagraph"/>
        <w:numPr>
          <w:ilvl w:val="0"/>
          <w:numId w:val="2"/>
        </w:numPr>
        <w:spacing w:after="40" w:before="40" w:line="280"/>
      </w:pPr>
      <w:r>
        <w:rPr>
          <w:rFonts w:ascii="Arial" w:cs="Arial" w:eastAsia="Arial" w:hAnsi="Arial"/>
          <w:color w:val="2C2C2A"/>
          <w:sz w:val="22"/>
          <w:szCs w:val="22"/>
        </w:rPr>
        <w:t xml:space="preserve">Un intervenant principal est désigné comme « formateur référent » — interlocuteur unique des bénéficiaires.</w:t>
      </w:r>
    </w:p>
    <w:p>
      <w:pPr>
        <w:pStyle w:val="ListParagraph"/>
        <w:numPr>
          <w:ilvl w:val="0"/>
          <w:numId w:val="2"/>
        </w:numPr>
        <w:spacing w:after="40" w:before="40" w:line="280"/>
      </w:pPr>
      <w:r>
        <w:rPr>
          <w:rFonts w:ascii="Arial" w:cs="Arial" w:eastAsia="Arial" w:hAnsi="Arial"/>
          <w:color w:val="2C2C2A"/>
          <w:sz w:val="22"/>
          <w:szCs w:val="22"/>
        </w:rPr>
        <w:t xml:space="preserve">Tous les co-intervenants sont identifiés dans le programme M5 et le synopsis M21.</w:t>
      </w:r>
    </w:p>
    <w:p>
      <w:pPr>
        <w:pStyle w:val="ListParagraph"/>
        <w:numPr>
          <w:ilvl w:val="0"/>
          <w:numId w:val="2"/>
        </w:numPr>
        <w:spacing w:after="40" w:before="40" w:line="280"/>
      </w:pPr>
      <w:r>
        <w:rPr>
          <w:rFonts w:ascii="Arial" w:cs="Arial" w:eastAsia="Arial" w:hAnsi="Arial"/>
          <w:color w:val="2C2C2A"/>
          <w:sz w:val="22"/>
          <w:szCs w:val="22"/>
        </w:rPr>
        <w:t xml:space="preserve">Une réunion de cadrage est organisée AVANT le démarrage — alignement objectifs, méthodes, évaluation.</w:t>
      </w:r>
    </w:p>
    <w:p>
      <w:pPr>
        <w:pStyle w:val="ListParagraph"/>
        <w:numPr>
          <w:ilvl w:val="0"/>
          <w:numId w:val="2"/>
        </w:numPr>
        <w:spacing w:after="40" w:before="40" w:line="280"/>
      </w:pPr>
      <w:r>
        <w:rPr>
          <w:rFonts w:ascii="Arial" w:cs="Arial" w:eastAsia="Arial" w:hAnsi="Arial"/>
          <w:color w:val="2C2C2A"/>
          <w:sz w:val="22"/>
          <w:szCs w:val="22"/>
        </w:rPr>
        <w:t xml:space="preserve">Le passage de témoin entre intervenants est explicitement organisé (transmission notes, demandes).</w:t>
      </w:r>
    </w:p>
    <w:p>
      <w:pPr>
        <w:spacing w:after="100"/>
      </w:pPr>
      <w:r>
        <w:t xml:space="preserve"/>
      </w:r>
    </w:p>
    <w:p>
      <w:pPr>
        <w:spacing w:after="80" w:before="200" w:line="300"/>
        <w:jc w:val="left"/>
      </w:pPr>
      <w:r>
        <w:rPr>
          <w:rFonts w:ascii="Arial" w:cs="Arial" w:eastAsia="Arial" w:hAnsi="Arial"/>
          <w:b/>
          <w:bCs/>
          <w:color w:val="D85A30"/>
          <w:spacing w:val="30"/>
          <w:sz w:val="18"/>
          <w:szCs w:val="18"/>
        </w:rPr>
        <w:t xml:space="preserve">5.2 · SOUS-TRAITANCE EXTERNE</w:t>
      </w:r>
    </w:p>
    <w:p>
      <w:pPr>
        <w:pStyle w:val="ListParagraph"/>
        <w:numPr>
          <w:ilvl w:val="0"/>
          <w:numId w:val="2"/>
        </w:numPr>
        <w:spacing w:after="40" w:before="40" w:line="280"/>
      </w:pPr>
      <w:r>
        <w:rPr>
          <w:rFonts w:ascii="Arial" w:cs="Arial" w:eastAsia="Arial" w:hAnsi="Arial"/>
          <w:color w:val="2C2C2A"/>
          <w:sz w:val="22"/>
          <w:szCs w:val="22"/>
        </w:rPr>
        <w:t xml:space="preserve">Tout sous-traitant a signé la convention M37 et fourni sa fiche M33 à jour.</w:t>
      </w:r>
    </w:p>
    <w:p>
      <w:pPr>
        <w:pStyle w:val="ListParagraph"/>
        <w:numPr>
          <w:ilvl w:val="0"/>
          <w:numId w:val="2"/>
        </w:numPr>
        <w:spacing w:after="40" w:before="40" w:line="280"/>
      </w:pPr>
      <w:r>
        <w:rPr>
          <w:rFonts w:ascii="Arial" w:cs="Arial" w:eastAsia="Arial" w:hAnsi="Arial"/>
          <w:color w:val="2C2C2A"/>
          <w:sz w:val="22"/>
          <w:szCs w:val="22"/>
        </w:rPr>
        <w:t xml:space="preserve">Il participe a minima au briefing de démarrage et au debriefing de clôture.</w:t>
      </w:r>
    </w:p>
    <w:p>
      <w:pPr>
        <w:pStyle w:val="ListParagraph"/>
        <w:numPr>
          <w:ilvl w:val="0"/>
          <w:numId w:val="2"/>
        </w:numPr>
        <w:spacing w:after="40" w:before="40" w:line="280"/>
      </w:pPr>
      <w:r>
        <w:rPr>
          <w:rFonts w:ascii="Arial" w:cs="Arial" w:eastAsia="Arial" w:hAnsi="Arial"/>
          <w:color w:val="2C2C2A"/>
          <w:sz w:val="22"/>
          <w:szCs w:val="22"/>
        </w:rPr>
        <w:t xml:space="preserve">Il reçoit les retours d'évaluation à chaud anonymisés concernant ses interventions.</w:t>
      </w:r>
    </w:p>
    <w:p>
      <w:pPr>
        <w:pStyle w:val="ListParagraph"/>
        <w:numPr>
          <w:ilvl w:val="0"/>
          <w:numId w:val="2"/>
        </w:numPr>
        <w:spacing w:after="40" w:before="40" w:line="280"/>
      </w:pPr>
      <w:r>
        <w:rPr>
          <w:rFonts w:ascii="Arial" w:cs="Arial" w:eastAsia="Arial" w:hAnsi="Arial"/>
          <w:color w:val="2C2C2A"/>
          <w:sz w:val="22"/>
          <w:szCs w:val="22"/>
        </w:rPr>
        <w:t xml:space="preserve">Il a accès en lecture aux espaces partagés sur le périmètre de sa mission.</w:t>
      </w:r>
    </w:p>
    <w:p>
      <w:pPr>
        <w:spacing w:after="100"/>
      </w:pPr>
      <w:r>
        <w:t xml:space="preserve"/>
      </w:r>
    </w:p>
    <w:p>
      <w:pPr>
        <w:spacing w:after="80" w:before="200" w:line="300"/>
        <w:jc w:val="left"/>
      </w:pPr>
      <w:r>
        <w:rPr>
          <w:rFonts w:ascii="Arial" w:cs="Arial" w:eastAsia="Arial" w:hAnsi="Arial"/>
          <w:b/>
          <w:bCs/>
          <w:color w:val="D85A30"/>
          <w:spacing w:val="30"/>
          <w:sz w:val="18"/>
          <w:szCs w:val="18"/>
        </w:rPr>
        <w:t xml:space="preserve">5.3 · APPRENTISSAGE CFA — COORDINATION ENTREPRISE/CFA</w:t>
      </w:r>
    </w:p>
    <w:p>
      <w:pPr>
        <w:pStyle w:val="ListParagraph"/>
        <w:numPr>
          <w:ilvl w:val="0"/>
          <w:numId w:val="2"/>
        </w:numPr>
        <w:spacing w:after="40" w:before="40" w:line="280"/>
      </w:pPr>
      <w:r>
        <w:rPr>
          <w:rFonts w:ascii="Arial" w:cs="Arial" w:eastAsia="Arial" w:hAnsi="Arial"/>
          <w:color w:val="2C2C2A"/>
          <w:sz w:val="22"/>
          <w:szCs w:val="22"/>
        </w:rPr>
        <w:t xml:space="preserve">Un référent apprentissage est désigné comme interlocuteur unique de chaque entreprise.</w:t>
      </w:r>
    </w:p>
    <w:p>
      <w:pPr>
        <w:pStyle w:val="ListParagraph"/>
        <w:numPr>
          <w:ilvl w:val="0"/>
          <w:numId w:val="2"/>
        </w:numPr>
        <w:spacing w:after="40" w:before="40" w:line="280"/>
      </w:pPr>
      <w:r>
        <w:rPr>
          <w:rFonts w:ascii="Arial" w:cs="Arial" w:eastAsia="Arial" w:hAnsi="Arial"/>
          <w:color w:val="2C2C2A"/>
          <w:sz w:val="22"/>
          <w:szCs w:val="22"/>
        </w:rPr>
        <w:t xml:space="preserve">Une visite en entreprise est organisée a minima 1 fois par an (présentiel ou visio motivé).</w:t>
      </w:r>
    </w:p>
    <w:p>
      <w:pPr>
        <w:pStyle w:val="ListParagraph"/>
        <w:numPr>
          <w:ilvl w:val="0"/>
          <w:numId w:val="2"/>
        </w:numPr>
        <w:spacing w:after="40" w:before="40" w:line="280"/>
      </w:pPr>
      <w:r>
        <w:rPr>
          <w:rFonts w:ascii="Arial" w:cs="Arial" w:eastAsia="Arial" w:hAnsi="Arial"/>
          <w:color w:val="2C2C2A"/>
          <w:sz w:val="22"/>
          <w:szCs w:val="22"/>
        </w:rPr>
        <w:t xml:space="preserve">Le livret d'apprentissage (papier ou numérique) trace les échanges école/entreprise/apprenti.</w:t>
      </w:r>
    </w:p>
    <w:p>
      <w:pPr>
        <w:pStyle w:val="ListParagraph"/>
        <w:numPr>
          <w:ilvl w:val="0"/>
          <w:numId w:val="2"/>
        </w:numPr>
        <w:spacing w:after="40" w:before="40" w:line="280"/>
      </w:pPr>
      <w:r>
        <w:rPr>
          <w:rFonts w:ascii="Arial" w:cs="Arial" w:eastAsia="Arial" w:hAnsi="Arial"/>
          <w:color w:val="2C2C2A"/>
          <w:sz w:val="22"/>
          <w:szCs w:val="22"/>
        </w:rPr>
        <w:t xml:space="preserve">Un point tripartite (CFA + apprenti + maître d'apprentissage) est organisé a minima semestriel.</w:t>
      </w:r>
    </w:p>
    <w:p>
      <w:pPr>
        <w:pStyle w:val="Heading2"/>
        <w:spacing w:after="140" w:before="320"/>
      </w:pPr>
      <w:r>
        <w:rPr>
          <w:rFonts w:ascii="Arial" w:cs="Arial" w:eastAsia="Arial" w:hAnsi="Arial"/>
          <w:b/>
          <w:bCs/>
          <w:color w:val="0F2A47"/>
          <w:sz w:val="26"/>
          <w:szCs w:val="26"/>
        </w:rPr>
        <w:t xml:space="preserve">6 · Gestion des dysfonctionnements</w:t>
      </w:r>
    </w:p>
    <w:p>
      <w:pPr>
        <w:spacing w:after="100" w:before="80" w:line="300"/>
        <w:jc w:val="left"/>
      </w:pPr>
      <w:r>
        <w:rPr>
          <w:rFonts w:ascii="Arial" w:cs="Arial" w:eastAsia="Arial" w:hAnsi="Arial"/>
          <w:b w:val="false"/>
          <w:bCs w:val="false"/>
          <w:i w:val="false"/>
          <w:iCs w:val="false"/>
          <w:color w:val="2C2C2A"/>
          <w:sz w:val="22"/>
          <w:szCs w:val="22"/>
        </w:rPr>
        <w:t xml:space="preserve">Tout signalement, qu'il provienne d'un bénéficiaire, d'un formateur, ou d'un partenaire, suit le circuit suivant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3000"/>
        <w:gridCol w:w="1260"/>
      </w:tblGrid>
      <w:tr>
        <w:trPr>
          <w:tblHeader/>
        </w:trPr>
        <w:tc>
          <w:tcPr>
            <w:tcW w:type="dxa" w:w="13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Niveau</w:t>
            </w:r>
          </w:p>
        </w:tc>
        <w:tc>
          <w:tcPr>
            <w:tcW w:type="dxa" w:w="38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Type de signalement</w:t>
            </w:r>
          </w:p>
        </w:tc>
        <w:tc>
          <w:tcPr>
            <w:tcW w:type="dxa" w:w="3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Traitement</w:t>
            </w:r>
          </w:p>
        </w:tc>
        <w:tc>
          <w:tcPr>
            <w:tcW w:type="dxa" w:w="12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Délai</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Niveau 1</w:t>
            </w:r>
          </w:p>
        </w:tc>
        <w:tc>
          <w:tcPr>
            <w:tcW w:type="dxa" w:w="3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Question pédagogique mineure, demande de précision</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Réponse formateur direct ou Resp. péda</w:t>
            </w:r>
          </w:p>
        </w:tc>
        <w:tc>
          <w:tcPr>
            <w:tcW w:type="dxa" w:w="12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48h</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Niveau 2</w:t>
            </w:r>
          </w:p>
        </w:tc>
        <w:tc>
          <w:tcPr>
            <w:tcW w:type="dxa" w:w="3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Insatisfaction tracée, demande d'aménagement</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Instruction Resp. péda + retour formel</w:t>
            </w:r>
          </w:p>
        </w:tc>
        <w:tc>
          <w:tcPr>
            <w:tcW w:type="dxa" w:w="12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5 jours</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Niveau 3</w:t>
            </w:r>
          </w:p>
        </w:tc>
        <w:tc>
          <w:tcPr>
            <w:tcW w:type="dxa" w:w="3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Réclamation formelle (M-Reclamation), incident grave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Procédure de réclamation Ind. 31 — Direction</w:t>
            </w:r>
          </w:p>
        </w:tc>
        <w:tc>
          <w:tcPr>
            <w:tcW w:type="dxa" w:w="12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15 jours max</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Niveau 4</w:t>
            </w:r>
          </w:p>
        </w:tc>
        <w:tc>
          <w:tcPr>
            <w:tcW w:type="dxa" w:w="3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Manquement déontologique, fraude, atteinte personne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Suspension immédiate + instruction + décision</w:t>
            </w:r>
          </w:p>
        </w:tc>
        <w:tc>
          <w:tcPr>
            <w:tcW w:type="dxa" w:w="12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Immédiat + 30 jours</w:t>
            </w:r>
          </w:p>
        </w:tc>
      </w:tr>
    </w:tbl>
    <w:p>
      <w:pPr>
        <w:spacing w:after="200"/>
      </w:pPr>
      <w:r>
        <w:t xml:space="preserve"/>
      </w:r>
    </w:p>
    <w:p>
      <w:pPr>
        <w:spacing w:after="80" w:before="200" w:line="300"/>
        <w:jc w:val="left"/>
      </w:pPr>
      <w:r>
        <w:rPr>
          <w:rFonts w:ascii="Arial" w:cs="Arial" w:eastAsia="Arial" w:hAnsi="Arial"/>
          <w:b/>
          <w:bCs/>
          <w:color w:val="D85A30"/>
          <w:spacing w:val="30"/>
          <w:sz w:val="18"/>
          <w:szCs w:val="18"/>
        </w:rPr>
        <w:t xml:space="preserve">VALIDATION DE LA NOTE DE COORDINATION</w:t>
      </w:r>
    </w:p>
    <w:p>
      <w:pPr>
        <w:spacing w:after="200" w:before="80" w:line="300"/>
        <w:jc w:val="left"/>
      </w:pPr>
      <w:r>
        <w:rPr>
          <w:rFonts w:ascii="Arial" w:cs="Arial" w:eastAsia="Arial" w:hAnsi="Arial"/>
          <w:b w:val="false"/>
          <w:bCs w:val="false"/>
          <w:i w:val="false"/>
          <w:iCs w:val="false"/>
          <w:color w:val="2C2C2A"/>
          <w:sz w:val="22"/>
          <w:szCs w:val="22"/>
        </w:rPr>
        <w:t xml:space="preserve">Fait à [ ville ], le [ 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Responsable pédagogique,</w:t>
            </w:r>
          </w:p>
          <w:p>
            <w:pPr>
              <w:spacing w:after="40" w:before="80" w:line="300"/>
              <w:jc w:val="left"/>
            </w:pPr>
            <w:r>
              <w:rPr>
                <w:rFonts w:ascii="Arial" w:cs="Arial" w:eastAsia="Arial" w:hAnsi="Arial"/>
                <w:b/>
                <w:bCs/>
                <w:i w:val="false"/>
                <w:iCs w:val="false"/>
                <w:color w:val="2C2C2A"/>
                <w:sz w:val="22"/>
                <w:szCs w:val="22"/>
              </w:rPr>
              <w:t xml:space="preserve">[ Prénom NOM ]</w:t>
            </w:r>
          </w:p>
          <w:p>
            <w:pPr>
              <w:spacing w:after="240" w:before="0" w:line="300"/>
              <w:jc w:val="left"/>
            </w:pPr>
            <w:r>
              <w:rPr>
                <w:rFonts w:ascii="Arial" w:cs="Arial" w:eastAsia="Arial" w:hAnsi="Arial"/>
                <w:b w:val="false"/>
                <w:bCs w:val="false"/>
                <w:i w:val="false"/>
                <w:iCs w:val="false"/>
                <w:color w:val="5F5E5A"/>
                <w:sz w:val="20"/>
                <w:szCs w:val="20"/>
              </w:rPr>
              <w:t xml:space="preserve">Approbation</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800"/>
            </w:pPr>
            <w:r>
              <w:t xml:space="preserve"/>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Direction,</w:t>
            </w:r>
          </w:p>
          <w:p>
            <w:pPr>
              <w:spacing w:after="40" w:before="80" w:line="300"/>
              <w:jc w:val="left"/>
            </w:pPr>
            <w:r>
              <w:rPr>
                <w:rFonts w:ascii="Arial" w:cs="Arial" w:eastAsia="Arial" w:hAnsi="Arial"/>
                <w:b w:val="false"/>
                <w:bCs w:val="false"/>
                <w:i/>
                <w:iCs/>
                <w:color w:val="888780"/>
                <w:sz w:val="18"/>
                <w:szCs w:val="18"/>
              </w:rPr>
              <w:t xml:space="preserve">Validation finale</w:t>
            </w:r>
          </w:p>
          <w:p>
            <w:pPr>
              <w:spacing w:after="240" w:before="0" w:line="300"/>
              <w:jc w:val="left"/>
            </w:pPr>
            <w:r>
              <w:rPr>
                <w:rFonts w:ascii="Arial" w:cs="Arial" w:eastAsia="Arial" w:hAnsi="Arial"/>
                <w:b w:val="false"/>
                <w:bCs w:val="false"/>
                <w:i/>
                <w:iCs/>
                <w:color w:val="888780"/>
                <w:sz w:val="18"/>
                <w:szCs w:val="18"/>
              </w:rPr>
              <w:t xml:space="preserve">Fait à [ ville ], le [ date ]</w:t>
            </w:r>
          </w:p>
          <w:p>
            <w:pPr>
              <w:spacing w:after="0" w:before="0" w:line="300"/>
              <w:jc w:val="left"/>
            </w:pPr>
            <w:r>
              <w:rPr>
                <w:rFonts w:ascii="Arial" w:cs="Arial" w:eastAsia="Arial" w:hAnsi="Arial"/>
                <w:b w:val="false"/>
                <w:bCs w:val="false"/>
                <w:i/>
                <w:iCs/>
                <w:color w:val="888780"/>
                <w:sz w:val="18"/>
                <w:szCs w:val="18"/>
              </w:rPr>
              <w:t xml:space="preserve">Signature :</w:t>
            </w:r>
          </w:p>
          <w:p>
            <w:pPr>
              <w:spacing w:after="800"/>
            </w:pPr>
            <w:r>
              <w:t xml:space="preserve"/>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Note de coordination de l'équipe pédagogique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Note de coordination de l'équipe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coordination de l'équipe pédagogique</dc:title>
  <dc:creator>So Forma — Production Qualiopi</dc:creator>
  <dc:description>Modèle Qualiopi — Charte 2026</dc:description>
  <cp:lastModifiedBy>Un-named</cp:lastModifiedBy>
  <cp:revision>1</cp:revision>
  <dcterms:created xsi:type="dcterms:W3CDTF">2026-05-14T18:05:42.961Z</dcterms:created>
  <dcterms:modified xsi:type="dcterms:W3CDTF">2026-05-14T18:05:42.961Z</dcterms:modified>
</cp:coreProperties>
</file>

<file path=docProps/custom.xml><?xml version="1.0" encoding="utf-8"?>
<Properties xmlns="http://schemas.openxmlformats.org/officeDocument/2006/custom-properties" xmlns:vt="http://schemas.openxmlformats.org/officeDocument/2006/docPropsVTypes"/>
</file>