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100" w:before="80" w:line="300"/>
        <w:jc w:val="left"/>
      </w:pPr>
      <w:r>
        <w:rPr>
          <w:rFonts w:ascii="Arial" w:cs="Arial" w:eastAsia="Arial" w:hAnsi="Arial"/>
          <w:b/>
          <w:bCs/>
          <w:i w:val="false"/>
          <w:iCs w:val="false"/>
          <w:color w:val="D85A30"/>
          <w:sz w:val="20"/>
          <w:szCs w:val="20"/>
        </w:rPr>
        <w:t xml:space="preserve">MODÈLE M40</w:t>
      </w:r>
    </w:p>
    <w:p>
      <w:pPr>
        <w:pBdr>
          <w:bottom w:val="single" w:color="D85A30" w:sz="12" w:space="1"/>
        </w:pBdr>
        <w:spacing w:after="200" w:before="0"/>
      </w:pPr>
      <w:r>
        <w:t xml:space="preserve"/>
      </w:r>
    </w:p>
    <w:p>
      <w:pPr>
        <w:spacing w:after="200" w:before="200" w:line="300"/>
        <w:jc w:val="left"/>
      </w:pPr>
      <w:r>
        <w:rPr>
          <w:rFonts w:ascii="Arial" w:cs="Arial" w:eastAsia="Arial" w:hAnsi="Arial"/>
          <w:b/>
          <w:bCs/>
          <w:i w:val="false"/>
          <w:iCs w:val="false"/>
          <w:color w:val="0F2A47"/>
          <w:sz w:val="52"/>
          <w:szCs w:val="52"/>
        </w:rPr>
        <w:t xml:space="preserve">Procédure de recrutement et habilitation des formateurs</w:t>
      </w:r>
    </w:p>
    <w:p>
      <w:pPr>
        <w:spacing w:after="600" w:before="80" w:line="300"/>
        <w:jc w:val="left"/>
      </w:pPr>
      <w:r>
        <w:rPr>
          <w:rFonts w:ascii="Arial" w:cs="Arial" w:eastAsia="Arial" w:hAnsi="Arial"/>
          <w:b w:val="false"/>
          <w:bCs w:val="false"/>
          <w:i/>
          <w:iCs/>
          <w:color w:val="5F5E5A"/>
          <w:sz w:val="24"/>
          <w:szCs w:val="24"/>
        </w:rPr>
        <w:t xml:space="preserve">Processus formalisé : sélection → qualification → habilitation → renouvellement — Ind. 21</w:t>
      </w:r>
    </w:p>
    <w:p>
      <w:pPr>
        <w:spacing w:after="100" w:before="80" w:line="300"/>
        <w:jc w:val="left"/>
      </w:pPr>
      <w:r>
        <w:rPr>
          <w:rFonts w:ascii="Arial" w:cs="Arial" w:eastAsia="Arial" w:hAnsi="Arial"/>
          <w:b/>
          <w:bCs/>
          <w:i w:val="false"/>
          <w:iCs w:val="false"/>
          <w:color w:val="5F5E5A"/>
          <w:sz w:val="18"/>
          <w:szCs w:val="18"/>
        </w:rPr>
        <w:t xml:space="preserve">Référentiel National Qualité — Critères couverts</w:t>
      </w:r>
    </w:p>
    <w:p>
      <w:pPr>
        <w:spacing w:after="40" w:before="40" w:line="300"/>
        <w:jc w:val="left"/>
      </w:pPr>
      <w:r>
        <w:rPr>
          <w:rFonts w:ascii="Arial" w:cs="Arial" w:eastAsia="Arial" w:hAnsi="Arial"/>
          <w:b/>
          <w:bCs/>
          <w:i w:val="false"/>
          <w:iCs w:val="false"/>
          <w:color w:val="D85A30"/>
          <w:sz w:val="22"/>
          <w:szCs w:val="22"/>
        </w:rPr>
        <w:t xml:space="preserve">● </w:t>
      </w:r>
      <w:r>
        <w:rPr>
          <w:rFonts w:ascii="Arial" w:cs="Arial" w:eastAsia="Arial" w:hAnsi="Arial"/>
          <w:b w:val="false"/>
          <w:bCs w:val="false"/>
          <w:i w:val="false"/>
          <w:iCs w:val="false"/>
          <w:color w:val="2C2C2A"/>
          <w:sz w:val="20"/>
          <w:szCs w:val="20"/>
        </w:rPr>
        <w:t xml:space="preserve">Ind. 21 — Compétences et qualifications de l'équipe (Majeure)</w:t>
      </w:r>
    </w:p>
    <w:p>
      <w:pPr>
        <w:spacing w:after="40" w:before="40" w:line="300"/>
        <w:jc w:val="left"/>
      </w:pPr>
      <w:r>
        <w:rPr>
          <w:rFonts w:ascii="Arial" w:cs="Arial" w:eastAsia="Arial" w:hAnsi="Arial"/>
          <w:b/>
          <w:bCs/>
          <w:i w:val="false"/>
          <w:iCs w:val="false"/>
          <w:color w:val="D85A30"/>
          <w:sz w:val="22"/>
          <w:szCs w:val="22"/>
        </w:rPr>
        <w:t xml:space="preserve">● </w:t>
      </w:r>
      <w:r>
        <w:rPr>
          <w:rFonts w:ascii="Arial" w:cs="Arial" w:eastAsia="Arial" w:hAnsi="Arial"/>
          <w:b w:val="false"/>
          <w:bCs w:val="false"/>
          <w:i w:val="false"/>
          <w:iCs w:val="false"/>
          <w:color w:val="2C2C2A"/>
          <w:sz w:val="20"/>
          <w:szCs w:val="20"/>
        </w:rPr>
        <w:t xml:space="preserve">Couvre le cycle complet : recrutement → habilitation → suivi → renouvellement annuel</w:t>
      </w:r>
    </w:p>
    <w:p>
      <w:pPr>
        <w:spacing w:after="40" w:before="40" w:line="300"/>
        <w:jc w:val="left"/>
      </w:pPr>
      <w:r>
        <w:rPr>
          <w:rFonts w:ascii="Arial" w:cs="Arial" w:eastAsia="Arial" w:hAnsi="Arial"/>
          <w:b/>
          <w:bCs/>
          <w:i w:val="false"/>
          <w:iCs w:val="false"/>
          <w:color w:val="D85A30"/>
          <w:sz w:val="22"/>
          <w:szCs w:val="22"/>
        </w:rPr>
        <w:t xml:space="preserve">● </w:t>
      </w:r>
      <w:r>
        <w:rPr>
          <w:rFonts w:ascii="Arial" w:cs="Arial" w:eastAsia="Arial" w:hAnsi="Arial"/>
          <w:b w:val="false"/>
          <w:bCs w:val="false"/>
          <w:i w:val="false"/>
          <w:iCs w:val="false"/>
          <w:color w:val="2C2C2A"/>
          <w:sz w:val="20"/>
          <w:szCs w:val="20"/>
        </w:rPr>
        <w:t xml:space="preserve">Applicable aux salariés ET aux sous-traitants — exigences identiques</w:t>
      </w:r>
    </w:p>
    <w:p>
      <w:pPr>
        <w:spacing w:after="800"/>
      </w:pPr>
      <w:r>
        <w:t xml:space="preserve"/>
      </w:r>
    </w:p>
    <w:p>
      <w:pPr>
        <w:spacing w:after="100" w:before="80" w:line="300"/>
        <w:jc w:val="left"/>
      </w:pPr>
      <w:r>
        <w:rPr>
          <w:rFonts w:ascii="Arial" w:cs="Arial" w:eastAsia="Arial" w:hAnsi="Arial"/>
          <w:b w:val="false"/>
          <w:bCs w:val="false"/>
          <w:i/>
          <w:iCs/>
          <w:color w:val="888780"/>
          <w:sz w:val="18"/>
          <w:szCs w:val="18"/>
        </w:rPr>
        <w:t xml:space="preserve">Document pédagogique annoté — annotations RNQ et exemples grisés à supprimer pour la version finale.</w:t>
      </w:r>
    </w:p>
    <w:p>
      <w:pPr>
        <w:spacing w:after="200" w:before="80" w:line="300"/>
        <w:jc w:val="left"/>
      </w:pPr>
      <w:r>
        <w:rPr>
          <w:rFonts w:ascii="Arial" w:cs="Arial" w:eastAsia="Arial" w:hAnsi="Arial"/>
          <w:b w:val="false"/>
          <w:bCs w:val="false"/>
          <w:i/>
          <w:iCs/>
          <w:color w:val="888780"/>
          <w:sz w:val="18"/>
          <w:szCs w:val="18"/>
        </w:rPr>
        <w:t xml:space="preserve">Une version « Signature » épurée existe en parallèle pour usage opérationnel.</w:t>
      </w:r>
    </w:p>
    <w:p>
      <w:r>
        <w:br w:type="page"/>
      </w:r>
    </w:p>
    <w:p>
      <w:pPr>
        <w:spacing w:after="60" w:before="80" w:line="300"/>
        <w:jc w:val="left"/>
      </w:pPr>
      <w:r>
        <w:rPr>
          <w:rFonts w:ascii="Arial" w:cs="Arial" w:eastAsia="Arial" w:hAnsi="Arial"/>
          <w:b w:val="false"/>
          <w:bCs w:val="false"/>
          <w:i/>
          <w:iCs/>
          <w:color w:val="888780"/>
          <w:sz w:val="18"/>
          <w:szCs w:val="18"/>
        </w:rPr>
        <w:t xml:space="preserve">[ Logo organisme ]</w:t>
      </w:r>
    </w:p>
    <w:p>
      <w:pPr>
        <w:spacing w:after="40" w:before="80" w:line="300"/>
        <w:jc w:val="left"/>
      </w:pPr>
      <w:r>
        <w:rPr>
          <w:rFonts w:ascii="Arial" w:cs="Arial" w:eastAsia="Arial" w:hAnsi="Arial"/>
          <w:b/>
          <w:bCs/>
          <w:i w:val="false"/>
          <w:iCs w:val="false"/>
          <w:color w:val="0F2A47"/>
          <w:sz w:val="22"/>
          <w:szCs w:val="22"/>
        </w:rPr>
        <w:t xml:space="preserve">[ Nom de l'organisme ]</w:t>
      </w:r>
      <w:r>
        <w:rPr>
          <w:rFonts w:ascii="Arial" w:cs="Arial" w:eastAsia="Arial" w:hAnsi="Arial"/>
          <w:b w:val="false"/>
          <w:bCs w:val="false"/>
          <w:i w:val="false"/>
          <w:iCs w:val="false"/>
          <w:color w:val="2C2C2A"/>
          <w:sz w:val="22"/>
          <w:szCs w:val="22"/>
        </w:rPr>
        <w:t xml:space="preserve">    </w:t>
      </w:r>
      <w:r>
        <w:rPr>
          <w:rFonts w:ascii="Arial" w:cs="Arial" w:eastAsia="Arial" w:hAnsi="Arial"/>
          <w:b w:val="false"/>
          <w:bCs w:val="false"/>
          <w:i w:val="false"/>
          <w:iCs w:val="false"/>
          <w:color w:val="5F5E5A"/>
          <w:sz w:val="18"/>
          <w:szCs w:val="18"/>
        </w:rPr>
        <w:t xml:space="preserve">N° Déclaration d'activité : [00 00000 00 00]</w:t>
      </w:r>
    </w:p>
    <w:p>
      <w:pPr>
        <w:spacing w:after="40" w:before="80" w:line="300"/>
        <w:jc w:val="left"/>
      </w:pPr>
      <w:r>
        <w:rPr>
          <w:rFonts w:ascii="Arial" w:cs="Arial" w:eastAsia="Arial" w:hAnsi="Arial"/>
          <w:b w:val="false"/>
          <w:bCs w:val="false"/>
          <w:i w:val="false"/>
          <w:iCs w:val="false"/>
          <w:color w:val="5F5E5A"/>
          <w:sz w:val="18"/>
          <w:szCs w:val="18"/>
        </w:rPr>
        <w:t xml:space="preserve">[ Adresse complète ] · [ Code postal Ville ]</w:t>
      </w:r>
    </w:p>
    <w:p>
      <w:pPr>
        <w:spacing w:after="40" w:before="80" w:line="300"/>
        <w:jc w:val="left"/>
      </w:pPr>
      <w:r>
        <w:rPr>
          <w:rFonts w:ascii="Arial" w:cs="Arial" w:eastAsia="Arial" w:hAnsi="Arial"/>
          <w:b w:val="false"/>
          <w:bCs w:val="false"/>
          <w:i w:val="false"/>
          <w:iCs w:val="false"/>
          <w:color w:val="5F5E5A"/>
          <w:sz w:val="18"/>
          <w:szCs w:val="18"/>
        </w:rPr>
        <w:t xml:space="preserve">Tél. : [01.XX.XX.XX.XX]  ·  Email : [contact@organisme.fr]  ·  Web : [www.organisme.fr]</w:t>
      </w:r>
    </w:p>
    <w:p>
      <w:pPr>
        <w:spacing w:after="200" w:before="80" w:line="300"/>
        <w:jc w:val="left"/>
      </w:pPr>
      <w:r>
        <w:rPr>
          <w:rFonts w:ascii="Arial" w:cs="Arial" w:eastAsia="Arial" w:hAnsi="Arial"/>
          <w:b w:val="false"/>
          <w:bCs w:val="false"/>
          <w:i w:val="false"/>
          <w:iCs w:val="false"/>
          <w:color w:val="5F5E5A"/>
          <w:sz w:val="18"/>
          <w:szCs w:val="18"/>
        </w:rPr>
        <w:t xml:space="preserve">SIRET : [000 000 000 00000]  ·  Certifié Qualiopi (catégorie d'action)</w:t>
      </w:r>
    </w:p>
    <w:p>
      <w:pPr>
        <w:pBdr>
          <w:bottom w:val="single" w:color="D85A30" w:sz="12" w:space="1"/>
        </w:pBd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Référence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PROC-RECRUT-V1.0</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Date d'application</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JJ / MM / AAAA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Périmètre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Tous les intervenants pédagogiques (salariés, vacataires, sous-traitants)</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Validateur</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Direction — Responsable pédagogique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Périodicité de revue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Annuelle ou à chaque évolution réglementaire</w:t>
            </w:r>
          </w:p>
        </w:tc>
      </w:tr>
    </w:tbl>
    <w:p>
      <w:pPr>
        <w:spacing w:after="160"/>
      </w:pPr>
      <w:r>
        <w:t xml:space="preserve"/>
      </w:r>
    </w:p>
    <w:p>
      <w:pPr>
        <w:pStyle w:val="Heading2"/>
        <w:spacing w:after="140" w:before="320"/>
      </w:pPr>
      <w:r>
        <w:rPr>
          <w:rFonts w:ascii="Arial" w:cs="Arial" w:eastAsia="Arial" w:hAnsi="Arial"/>
          <w:b/>
          <w:bCs/>
          <w:color w:val="0F2A47"/>
          <w:sz w:val="26"/>
          <w:szCs w:val="26"/>
        </w:rPr>
        <w:t xml:space="preserve">1 · Objet et finalité</w:t>
      </w:r>
    </w:p>
    <w:p>
      <w:pPr>
        <w:pStyle w:val="ListParagraph"/>
        <w:numPr>
          <w:ilvl w:val="0"/>
          <w:numId w:val="2"/>
        </w:numPr>
        <w:spacing w:after="40" w:before="40" w:line="280"/>
      </w:pPr>
      <w:r>
        <w:rPr>
          <w:rFonts w:ascii="Arial" w:cs="Arial" w:eastAsia="Arial" w:hAnsi="Arial"/>
          <w:color w:val="2C2C2A"/>
          <w:sz w:val="22"/>
          <w:szCs w:val="22"/>
        </w:rPr>
        <w:t xml:space="preserve">Garantir l'adéquation entre les compétences des intervenants et les prestations confiées.</w:t>
      </w:r>
    </w:p>
    <w:p>
      <w:pPr>
        <w:pStyle w:val="ListParagraph"/>
        <w:numPr>
          <w:ilvl w:val="0"/>
          <w:numId w:val="2"/>
        </w:numPr>
        <w:spacing w:after="40" w:before="40" w:line="280"/>
      </w:pPr>
      <w:r>
        <w:rPr>
          <w:rFonts w:ascii="Arial" w:cs="Arial" w:eastAsia="Arial" w:hAnsi="Arial"/>
          <w:color w:val="2C2C2A"/>
          <w:sz w:val="22"/>
          <w:szCs w:val="22"/>
        </w:rPr>
        <w:t xml:space="preserve">Assurer la traçabilité de la sélection et de l'habilitation de chaque formateur.</w:t>
      </w:r>
    </w:p>
    <w:p>
      <w:pPr>
        <w:pStyle w:val="ListParagraph"/>
        <w:numPr>
          <w:ilvl w:val="0"/>
          <w:numId w:val="2"/>
        </w:numPr>
        <w:spacing w:after="40" w:before="40" w:line="280"/>
      </w:pPr>
      <w:r>
        <w:rPr>
          <w:rFonts w:ascii="Arial" w:cs="Arial" w:eastAsia="Arial" w:hAnsi="Arial"/>
          <w:color w:val="2C2C2A"/>
          <w:sz w:val="22"/>
          <w:szCs w:val="22"/>
        </w:rPr>
        <w:t xml:space="preserve">Encadrer les conditions de renouvellement et, le cas échéant, de suspension d'habilitation.</w:t>
      </w:r>
    </w:p>
    <w:p>
      <w:pPr>
        <w:pStyle w:val="ListParagraph"/>
        <w:numPr>
          <w:ilvl w:val="0"/>
          <w:numId w:val="2"/>
        </w:numPr>
        <w:spacing w:after="40" w:before="40" w:line="280"/>
      </w:pPr>
      <w:r>
        <w:rPr>
          <w:rFonts w:ascii="Arial" w:cs="Arial" w:eastAsia="Arial" w:hAnsi="Arial"/>
          <w:color w:val="2C2C2A"/>
          <w:sz w:val="22"/>
          <w:szCs w:val="22"/>
        </w:rPr>
        <w:t xml:space="preserve">Démontrer la conformité aux Indicateurs 21 et 22 du RNQ.</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Ind. 21  </w:t>
            </w:r>
            <w:r>
              <w:rPr>
                <w:rFonts w:ascii="Arial" w:cs="Arial" w:eastAsia="Arial" w:hAnsi="Arial"/>
                <w:color w:val="2C2C2A"/>
                <w:sz w:val="18"/>
                <w:szCs w:val="18"/>
              </w:rPr>
              <w:t xml:space="preserve">L'audit attend une procédure FORMALISÉE — pas un usage implicite. Trois preuves : (1) la procédure existe (ce document), (2) elle est appliquée (dossiers individuels M38 constitués), (3) elle est respectée (cohérence entre la procédure et les nominations effectives).</w:t>
            </w:r>
          </w:p>
        </w:tc>
      </w:tr>
    </w:tbl>
    <w:p>
      <w:pPr>
        <w:pStyle w:val="Heading2"/>
        <w:spacing w:after="140" w:before="320"/>
      </w:pPr>
      <w:r>
        <w:rPr>
          <w:rFonts w:ascii="Arial" w:cs="Arial" w:eastAsia="Arial" w:hAnsi="Arial"/>
          <w:b/>
          <w:bCs/>
          <w:color w:val="0F2A47"/>
          <w:sz w:val="26"/>
          <w:szCs w:val="26"/>
        </w:rPr>
        <w:t xml:space="preserve">2 · Critères de sélection minimum</w:t>
      </w:r>
    </w:p>
    <w:p>
      <w:pPr>
        <w:spacing w:after="80" w:before="200" w:line="300"/>
        <w:jc w:val="left"/>
      </w:pPr>
      <w:r>
        <w:rPr>
          <w:rFonts w:ascii="Arial" w:cs="Arial" w:eastAsia="Arial" w:hAnsi="Arial"/>
          <w:b/>
          <w:bCs/>
          <w:color w:val="D85A30"/>
          <w:spacing w:val="30"/>
          <w:sz w:val="18"/>
          <w:szCs w:val="18"/>
        </w:rPr>
        <w:t xml:space="preserve">2.1 · COMPÉTENCES MÉTIER</w:t>
      </w:r>
    </w:p>
    <w:p>
      <w:pPr>
        <w:pStyle w:val="ListParagraph"/>
        <w:numPr>
          <w:ilvl w:val="0"/>
          <w:numId w:val="2"/>
        </w:numPr>
        <w:spacing w:after="40" w:before="40" w:line="280"/>
      </w:pPr>
      <w:r>
        <w:rPr>
          <w:rFonts w:ascii="Arial" w:cs="Arial" w:eastAsia="Arial" w:hAnsi="Arial"/>
          <w:color w:val="2C2C2A"/>
          <w:sz w:val="22"/>
          <w:szCs w:val="22"/>
        </w:rPr>
        <w:t xml:space="preserve">Diplôme ou certification de niveau cohérent avec la prestation (généralement Bac+3 min., ou VAE équivalente).</w:t>
      </w:r>
    </w:p>
    <w:p>
      <w:pPr>
        <w:pStyle w:val="ListParagraph"/>
        <w:numPr>
          <w:ilvl w:val="0"/>
          <w:numId w:val="2"/>
        </w:numPr>
        <w:spacing w:after="40" w:before="40" w:line="280"/>
      </w:pPr>
      <w:r>
        <w:rPr>
          <w:rFonts w:ascii="Arial" w:cs="Arial" w:eastAsia="Arial" w:hAnsi="Arial"/>
          <w:color w:val="2C2C2A"/>
          <w:sz w:val="22"/>
          <w:szCs w:val="22"/>
        </w:rPr>
        <w:t xml:space="preserve">Expérience professionnelle directe sur le domaine d'intervention : minimum 3 ans en équivalent temps plein.</w:t>
      </w:r>
    </w:p>
    <w:p>
      <w:pPr>
        <w:pStyle w:val="ListParagraph"/>
        <w:numPr>
          <w:ilvl w:val="0"/>
          <w:numId w:val="2"/>
        </w:numPr>
        <w:spacing w:after="40" w:before="40" w:line="280"/>
      </w:pPr>
      <w:r>
        <w:rPr>
          <w:rFonts w:ascii="Arial" w:cs="Arial" w:eastAsia="Arial" w:hAnsi="Arial"/>
          <w:color w:val="2C2C2A"/>
          <w:sz w:val="22"/>
          <w:szCs w:val="22"/>
        </w:rPr>
        <w:t xml:space="preserve">À défaut de diplôme : 5 ans d'expérience attestée + validation par mise en situation.</w:t>
      </w:r>
    </w:p>
    <w:p>
      <w:pPr>
        <w:spacing w:after="80"/>
      </w:pPr>
      <w:r>
        <w:t xml:space="preserve"/>
      </w:r>
    </w:p>
    <w:p>
      <w:pPr>
        <w:spacing w:after="80" w:before="200" w:line="300"/>
        <w:jc w:val="left"/>
      </w:pPr>
      <w:r>
        <w:rPr>
          <w:rFonts w:ascii="Arial" w:cs="Arial" w:eastAsia="Arial" w:hAnsi="Arial"/>
          <w:b/>
          <w:bCs/>
          <w:color w:val="D85A30"/>
          <w:spacing w:val="30"/>
          <w:sz w:val="18"/>
          <w:szCs w:val="18"/>
        </w:rPr>
        <w:t xml:space="preserve">2.2 · COMPÉTENCES PÉDAGOGIQUES</w:t>
      </w:r>
    </w:p>
    <w:p>
      <w:pPr>
        <w:pStyle w:val="ListParagraph"/>
        <w:numPr>
          <w:ilvl w:val="0"/>
          <w:numId w:val="2"/>
        </w:numPr>
        <w:spacing w:after="40" w:before="40" w:line="280"/>
      </w:pPr>
      <w:r>
        <w:rPr>
          <w:rFonts w:ascii="Arial" w:cs="Arial" w:eastAsia="Arial" w:hAnsi="Arial"/>
          <w:color w:val="2C2C2A"/>
          <w:sz w:val="22"/>
          <w:szCs w:val="22"/>
        </w:rPr>
        <w:t xml:space="preserve">Expérience d'animation pédagogique : minimum 150h de formation d'adultes (cible ≥ 300h).</w:t>
      </w:r>
    </w:p>
    <w:p>
      <w:pPr>
        <w:pStyle w:val="ListParagraph"/>
        <w:numPr>
          <w:ilvl w:val="0"/>
          <w:numId w:val="2"/>
        </w:numPr>
        <w:spacing w:after="40" w:before="40" w:line="280"/>
      </w:pPr>
      <w:r>
        <w:rPr>
          <w:rFonts w:ascii="Arial" w:cs="Arial" w:eastAsia="Arial" w:hAnsi="Arial"/>
          <w:color w:val="2C2C2A"/>
          <w:sz w:val="22"/>
          <w:szCs w:val="22"/>
        </w:rPr>
        <w:t xml:space="preserve">OU formation à la pédagogie pour adultes (FPA, certificat de formateur, équivalent).</w:t>
      </w:r>
    </w:p>
    <w:p>
      <w:pPr>
        <w:pStyle w:val="ListParagraph"/>
        <w:numPr>
          <w:ilvl w:val="0"/>
          <w:numId w:val="2"/>
        </w:numPr>
        <w:spacing w:after="40" w:before="40" w:line="280"/>
      </w:pPr>
      <w:r>
        <w:rPr>
          <w:rFonts w:ascii="Arial" w:cs="Arial" w:eastAsia="Arial" w:hAnsi="Arial"/>
          <w:color w:val="2C2C2A"/>
          <w:sz w:val="22"/>
          <w:szCs w:val="22"/>
        </w:rPr>
        <w:t xml:space="preserve">OU période d'intégration tutorée validée par observation et co-animation.</w:t>
      </w:r>
    </w:p>
    <w:p>
      <w:pPr>
        <w:spacing w:after="80"/>
      </w:pPr>
      <w:r>
        <w:t xml:space="preserve"/>
      </w:r>
    </w:p>
    <w:p>
      <w:pPr>
        <w:spacing w:after="80" w:before="200" w:line="300"/>
        <w:jc w:val="left"/>
      </w:pPr>
      <w:r>
        <w:rPr>
          <w:rFonts w:ascii="Arial" w:cs="Arial" w:eastAsia="Arial" w:hAnsi="Arial"/>
          <w:b/>
          <w:bCs/>
          <w:color w:val="D85A30"/>
          <w:spacing w:val="30"/>
          <w:sz w:val="18"/>
          <w:szCs w:val="18"/>
        </w:rPr>
        <w:t xml:space="preserve">2.3 · COMPÉTENCES TRANSVERSES</w:t>
      </w:r>
    </w:p>
    <w:p>
      <w:pPr>
        <w:pStyle w:val="ListParagraph"/>
        <w:numPr>
          <w:ilvl w:val="0"/>
          <w:numId w:val="2"/>
        </w:numPr>
        <w:spacing w:after="40" w:before="40" w:line="280"/>
      </w:pPr>
      <w:r>
        <w:rPr>
          <w:rFonts w:ascii="Arial" w:cs="Arial" w:eastAsia="Arial" w:hAnsi="Arial"/>
          <w:color w:val="2C2C2A"/>
          <w:sz w:val="22"/>
          <w:szCs w:val="22"/>
        </w:rPr>
        <w:t xml:space="preserve">Maîtrise des outils numériques (suite bureautique, visioconférence, plateforme LMS).</w:t>
      </w:r>
    </w:p>
    <w:p>
      <w:pPr>
        <w:pStyle w:val="ListParagraph"/>
        <w:numPr>
          <w:ilvl w:val="0"/>
          <w:numId w:val="2"/>
        </w:numPr>
        <w:spacing w:after="40" w:before="40" w:line="280"/>
      </w:pPr>
      <w:r>
        <w:rPr>
          <w:rFonts w:ascii="Arial" w:cs="Arial" w:eastAsia="Arial" w:hAnsi="Arial"/>
          <w:color w:val="2C2C2A"/>
          <w:sz w:val="22"/>
          <w:szCs w:val="22"/>
        </w:rPr>
        <w:t xml:space="preserve">Capacité d'adaptation aux profils variés (hétérogénéité, accessibilité PSH).</w:t>
      </w:r>
    </w:p>
    <w:p>
      <w:pPr>
        <w:pStyle w:val="ListParagraph"/>
        <w:numPr>
          <w:ilvl w:val="0"/>
          <w:numId w:val="2"/>
        </w:numPr>
        <w:spacing w:after="40" w:before="40" w:line="280"/>
      </w:pPr>
      <w:r>
        <w:rPr>
          <w:rFonts w:ascii="Arial" w:cs="Arial" w:eastAsia="Arial" w:hAnsi="Arial"/>
          <w:color w:val="2C2C2A"/>
          <w:sz w:val="22"/>
          <w:szCs w:val="22"/>
        </w:rPr>
        <w:t xml:space="preserve">Aptitudes relationnelles : écoute, bienveillance, capacité de médiation.</w:t>
      </w:r>
    </w:p>
    <w:p>
      <w:pPr>
        <w:pStyle w:val="Heading2"/>
        <w:spacing w:after="140" w:before="320"/>
      </w:pPr>
      <w:r>
        <w:rPr>
          <w:rFonts w:ascii="Arial" w:cs="Arial" w:eastAsia="Arial" w:hAnsi="Arial"/>
          <w:b/>
          <w:bCs/>
          <w:color w:val="0F2A47"/>
          <w:sz w:val="26"/>
          <w:szCs w:val="26"/>
        </w:rPr>
        <w:t xml:space="preserve">3 · Étapes du processus de recrutement</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3700"/>
        <w:gridCol w:w="1500"/>
        <w:gridCol w:w="2500"/>
        <w:gridCol w:w="3000"/>
      </w:tblGrid>
      <w:tr>
        <w:trPr>
          <w:tblHeader/>
        </w:trPr>
        <w:tc>
          <w:tcPr>
            <w:tcW w:type="dxa" w:w="37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Étape</w:t>
            </w:r>
          </w:p>
        </w:tc>
        <w:tc>
          <w:tcPr>
            <w:tcW w:type="dxa" w:w="15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Délai</w:t>
            </w:r>
          </w:p>
        </w:tc>
        <w:tc>
          <w:tcPr>
            <w:tcW w:type="dxa" w:w="25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Acteurs</w:t>
            </w:r>
          </w:p>
        </w:tc>
        <w:tc>
          <w:tcPr>
            <w:tcW w:type="dxa" w:w="30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Pièces / Livrables</w:t>
            </w:r>
          </w:p>
        </w:tc>
      </w:tr>
      <w:tr>
        <w:tc>
          <w:tcPr>
            <w:tcW w:type="dxa" w:w="37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1. Identification du besoin</w:t>
            </w:r>
          </w:p>
        </w:tc>
        <w:tc>
          <w:tcPr>
            <w:tcW w:type="dxa" w:w="1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J0</w:t>
            </w:r>
          </w:p>
        </w:tc>
        <w:tc>
          <w:tcPr>
            <w:tcW w:type="dxa" w:w="2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Responsable pédagogique</w:t>
            </w:r>
          </w:p>
        </w:tc>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Fiche de poste / cahier des charges</w:t>
            </w:r>
          </w:p>
        </w:tc>
      </w:tr>
      <w:tr>
        <w:tc>
          <w:tcPr>
            <w:tcW w:type="dxa" w:w="37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2. Sourcing (vivier, candidatures, recommandations)</w:t>
            </w:r>
          </w:p>
        </w:tc>
        <w:tc>
          <w:tcPr>
            <w:tcW w:type="dxa" w:w="1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J0 → J+15</w:t>
            </w:r>
          </w:p>
        </w:tc>
        <w:tc>
          <w:tcPr>
            <w:tcW w:type="dxa" w:w="2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Resp. péda + Direction</w:t>
            </w:r>
          </w:p>
        </w:tc>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Annonce / liste candidats</w:t>
            </w:r>
          </w:p>
        </w:tc>
      </w:tr>
      <w:tr>
        <w:tc>
          <w:tcPr>
            <w:tcW w:type="dxa" w:w="37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3. Étude des dossiers (CV M38, diplômes, références)</w:t>
            </w:r>
          </w:p>
        </w:tc>
        <w:tc>
          <w:tcPr>
            <w:tcW w:type="dxa" w:w="1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J+15 → J+25</w:t>
            </w:r>
          </w:p>
        </w:tc>
        <w:tc>
          <w:tcPr>
            <w:tcW w:type="dxa" w:w="2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Responsable pédagogique</w:t>
            </w:r>
          </w:p>
        </w:tc>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Grille de pré-sélection</w:t>
            </w:r>
          </w:p>
        </w:tc>
      </w:tr>
      <w:tr>
        <w:tc>
          <w:tcPr>
            <w:tcW w:type="dxa" w:w="37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4. Entretien (métier + péda + valeurs)</w:t>
            </w:r>
          </w:p>
        </w:tc>
        <w:tc>
          <w:tcPr>
            <w:tcW w:type="dxa" w:w="1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J+25 → J+35</w:t>
            </w:r>
          </w:p>
        </w:tc>
        <w:tc>
          <w:tcPr>
            <w:tcW w:type="dxa" w:w="2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Resp. péda + 1 pair</w:t>
            </w:r>
          </w:p>
        </w:tc>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CR d'entretien signé</w:t>
            </w:r>
          </w:p>
        </w:tc>
      </w:tr>
      <w:tr>
        <w:tc>
          <w:tcPr>
            <w:tcW w:type="dxa" w:w="37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5. Mise en situation (cas pratique)</w:t>
            </w:r>
          </w:p>
        </w:tc>
        <w:tc>
          <w:tcPr>
            <w:tcW w:type="dxa" w:w="1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J+35 → J+45</w:t>
            </w:r>
          </w:p>
        </w:tc>
        <w:tc>
          <w:tcPr>
            <w:tcW w:type="dxa" w:w="2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Resp. péda + jury interne</w:t>
            </w:r>
          </w:p>
        </w:tc>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Grille d'évaluation</w:t>
            </w:r>
          </w:p>
        </w:tc>
      </w:tr>
      <w:tr>
        <w:tc>
          <w:tcPr>
            <w:tcW w:type="dxa" w:w="37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6. Décision et notification</w:t>
            </w:r>
          </w:p>
        </w:tc>
        <w:tc>
          <w:tcPr>
            <w:tcW w:type="dxa" w:w="1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J+45 → J+50</w:t>
            </w:r>
          </w:p>
        </w:tc>
        <w:tc>
          <w:tcPr>
            <w:tcW w:type="dxa" w:w="2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Direction (validation finale)</w:t>
            </w:r>
          </w:p>
        </w:tc>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Notification écrite</w:t>
            </w:r>
          </w:p>
        </w:tc>
      </w:tr>
      <w:tr>
        <w:tc>
          <w:tcPr>
            <w:tcW w:type="dxa" w:w="37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7. Onboarding : contrat/convention + accès outils</w:t>
            </w:r>
          </w:p>
        </w:tc>
        <w:tc>
          <w:tcPr>
            <w:tcW w:type="dxa" w:w="1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Avant 1ère intervention</w:t>
            </w:r>
          </w:p>
        </w:tc>
        <w:tc>
          <w:tcPr>
            <w:tcW w:type="dxa" w:w="2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RH + SI</w:t>
            </w:r>
          </w:p>
        </w:tc>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M38 + M41 + accès LMS</w:t>
            </w:r>
          </w:p>
        </w:tc>
      </w:tr>
    </w:tbl>
    <w:p>
      <w:pPr>
        <w:pStyle w:val="Heading2"/>
        <w:spacing w:after="140" w:before="320"/>
      </w:pPr>
      <w:r>
        <w:rPr>
          <w:rFonts w:ascii="Arial" w:cs="Arial" w:eastAsia="Arial" w:hAnsi="Arial"/>
          <w:b/>
          <w:bCs/>
          <w:color w:val="0F2A47"/>
          <w:sz w:val="26"/>
          <w:szCs w:val="26"/>
        </w:rPr>
        <w:t xml:space="preserve">4 · Habilitation par typologie d'action</w:t>
      </w:r>
    </w:p>
    <w:p>
      <w:pPr>
        <w:spacing w:after="120" w:before="80" w:line="300"/>
        <w:jc w:val="left"/>
      </w:pPr>
      <w:r>
        <w:rPr>
          <w:rFonts w:ascii="Arial" w:cs="Arial" w:eastAsia="Arial" w:hAnsi="Arial"/>
          <w:b w:val="false"/>
          <w:bCs w:val="false"/>
          <w:i w:val="false"/>
          <w:iCs w:val="false"/>
          <w:color w:val="2C2C2A"/>
          <w:sz w:val="22"/>
          <w:szCs w:val="22"/>
        </w:rPr>
        <w:t xml:space="preserve">L'habilitation est délivrée par typologie d'action ET par module. Tracée dans la fiche M38 et la matrice M39.</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4060"/>
        <w:gridCol w:w="2640"/>
      </w:tblGrid>
      <w:tr>
        <w:trPr>
          <w:tblHeader/>
        </w:trPr>
        <w:tc>
          <w:tcPr>
            <w:tcW w:type="dxa" w:w="30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Typologie d'action</w:t>
            </w:r>
          </w:p>
        </w:tc>
        <w:tc>
          <w:tcPr>
            <w:tcW w:type="dxa" w:w="406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Exigences spécifiques</w:t>
            </w:r>
          </w:p>
        </w:tc>
        <w:tc>
          <w:tcPr>
            <w:tcW w:type="dxa" w:w="264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Validation</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Action de formation (AF)</w:t>
            </w:r>
          </w:p>
        </w:tc>
        <w:tc>
          <w:tcPr>
            <w:tcW w:type="dxa" w:w="40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Critères généraux (§2) + connaissance du domaine</w:t>
            </w:r>
          </w:p>
        </w:tc>
        <w:tc>
          <w:tcPr>
            <w:tcW w:type="dxa" w:w="264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Co-animation 1ère session + observation</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Bilan de compétences (BC)</w:t>
            </w:r>
          </w:p>
        </w:tc>
        <w:tc>
          <w:tcPr>
            <w:tcW w:type="dxa" w:w="40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Formation à l'accompagnement BC + déontologie M14 signée</w:t>
            </w:r>
          </w:p>
        </w:tc>
        <w:tc>
          <w:tcPr>
            <w:tcW w:type="dxa" w:w="264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Validation systématique direction</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VAE</w:t>
            </w:r>
          </w:p>
        </w:tc>
        <w:tc>
          <w:tcPr>
            <w:tcW w:type="dxa" w:w="40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Formation accompagnateur VAE + connaissance fiche RNCP</w:t>
            </w:r>
          </w:p>
        </w:tc>
        <w:tc>
          <w:tcPr>
            <w:tcW w:type="dxa" w:w="264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Validation direction + recyclage 2 ans</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Apprentissage CFA</w:t>
            </w:r>
          </w:p>
        </w:tc>
        <w:tc>
          <w:tcPr>
            <w:tcW w:type="dxa" w:w="40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Diplôme niveau ≥ visé + pédagogie alternance</w:t>
            </w:r>
          </w:p>
        </w:tc>
        <w:tc>
          <w:tcPr>
            <w:tcW w:type="dxa" w:w="264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Habilitation OPCO/branche le cas échéant</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Jury professionnel</w:t>
            </w:r>
          </w:p>
        </w:tc>
        <w:tc>
          <w:tcPr>
            <w:tcW w:type="dxa" w:w="40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Expertise reconnue + neutralité (pas d'intérêt personnel)</w:t>
            </w:r>
          </w:p>
        </w:tc>
        <w:tc>
          <w:tcPr>
            <w:tcW w:type="dxa" w:w="264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Désignation explicite par session</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Action certifiante (RNCP/RS)</w:t>
            </w:r>
          </w:p>
        </w:tc>
        <w:tc>
          <w:tcPr>
            <w:tcW w:type="dxa" w:w="40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Critères du certificateur respectés</w:t>
            </w:r>
          </w:p>
        </w:tc>
        <w:tc>
          <w:tcPr>
            <w:tcW w:type="dxa" w:w="264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Habilitation certificateur le cas échéant</w:t>
            </w:r>
          </w:p>
        </w:tc>
      </w:tr>
    </w:tbl>
    <w:p>
      <w:pPr>
        <w:pStyle w:val="Heading2"/>
        <w:spacing w:after="140" w:before="320"/>
      </w:pPr>
      <w:r>
        <w:rPr>
          <w:rFonts w:ascii="Arial" w:cs="Arial" w:eastAsia="Arial" w:hAnsi="Arial"/>
          <w:b/>
          <w:bCs/>
          <w:color w:val="0F2A47"/>
          <w:sz w:val="26"/>
          <w:szCs w:val="26"/>
        </w:rPr>
        <w:t xml:space="preserve">5 · Période d'intégration et accompagnement</w:t>
      </w:r>
    </w:p>
    <w:p>
      <w:pPr>
        <w:spacing w:after="80" w:before="200" w:line="300"/>
        <w:jc w:val="left"/>
      </w:pPr>
      <w:r>
        <w:rPr>
          <w:rFonts w:ascii="Arial" w:cs="Arial" w:eastAsia="Arial" w:hAnsi="Arial"/>
          <w:b/>
          <w:bCs/>
          <w:color w:val="D85A30"/>
          <w:spacing w:val="30"/>
          <w:sz w:val="18"/>
          <w:szCs w:val="18"/>
        </w:rPr>
        <w:t xml:space="preserve">PHASE 1 — ACCUEIL (SEMAINE 1)</w:t>
      </w:r>
    </w:p>
    <w:p>
      <w:pPr>
        <w:pStyle w:val="ListParagraph"/>
        <w:numPr>
          <w:ilvl w:val="0"/>
          <w:numId w:val="2"/>
        </w:numPr>
        <w:spacing w:after="40" w:before="40" w:line="280"/>
      </w:pPr>
      <w:r>
        <w:rPr>
          <w:rFonts w:ascii="Arial" w:cs="Arial" w:eastAsia="Arial" w:hAnsi="Arial"/>
          <w:color w:val="2C2C2A"/>
          <w:sz w:val="22"/>
          <w:szCs w:val="22"/>
        </w:rPr>
        <w:t xml:space="preserve">Présentation de l'organisme : structure, gouvernance, certifications, équipe.</w:t>
      </w:r>
    </w:p>
    <w:p>
      <w:pPr>
        <w:pStyle w:val="ListParagraph"/>
        <w:numPr>
          <w:ilvl w:val="0"/>
          <w:numId w:val="2"/>
        </w:numPr>
        <w:spacing w:after="40" w:before="40" w:line="280"/>
      </w:pPr>
      <w:r>
        <w:rPr>
          <w:rFonts w:ascii="Arial" w:cs="Arial" w:eastAsia="Arial" w:hAnsi="Arial"/>
          <w:color w:val="2C2C2A"/>
          <w:sz w:val="22"/>
          <w:szCs w:val="22"/>
        </w:rPr>
        <w:t xml:space="preserve">Présentation des procédures qualité Qualiopi et du rôle du formateur.</w:t>
      </w:r>
    </w:p>
    <w:p>
      <w:pPr>
        <w:pStyle w:val="ListParagraph"/>
        <w:numPr>
          <w:ilvl w:val="0"/>
          <w:numId w:val="2"/>
        </w:numPr>
        <w:spacing w:after="40" w:before="40" w:line="280"/>
      </w:pPr>
      <w:r>
        <w:rPr>
          <w:rFonts w:ascii="Arial" w:cs="Arial" w:eastAsia="Arial" w:hAnsi="Arial"/>
          <w:color w:val="2C2C2A"/>
          <w:sz w:val="22"/>
          <w:szCs w:val="22"/>
        </w:rPr>
        <w:t xml:space="preserve">Accès aux outils (LMS, espaces de partage, documents pédagogiques).</w:t>
      </w:r>
    </w:p>
    <w:p>
      <w:pPr>
        <w:pStyle w:val="ListParagraph"/>
        <w:numPr>
          <w:ilvl w:val="0"/>
          <w:numId w:val="2"/>
        </w:numPr>
        <w:spacing w:after="40" w:before="40" w:line="280"/>
      </w:pPr>
      <w:r>
        <w:rPr>
          <w:rFonts w:ascii="Arial" w:cs="Arial" w:eastAsia="Arial" w:hAnsi="Arial"/>
          <w:color w:val="2C2C2A"/>
          <w:sz w:val="22"/>
          <w:szCs w:val="22"/>
        </w:rPr>
        <w:t xml:space="preserve">Remise du règlement intérieur, charte M14, modèles documentaires.</w:t>
      </w:r>
    </w:p>
    <w:p>
      <w:pPr>
        <w:spacing w:after="80"/>
      </w:pPr>
      <w:r>
        <w:t xml:space="preserve"/>
      </w:r>
    </w:p>
    <w:p>
      <w:pPr>
        <w:spacing w:after="80" w:before="200" w:line="300"/>
        <w:jc w:val="left"/>
      </w:pPr>
      <w:r>
        <w:rPr>
          <w:rFonts w:ascii="Arial" w:cs="Arial" w:eastAsia="Arial" w:hAnsi="Arial"/>
          <w:b/>
          <w:bCs/>
          <w:color w:val="D85A30"/>
          <w:spacing w:val="30"/>
          <w:sz w:val="18"/>
          <w:szCs w:val="18"/>
        </w:rPr>
        <w:t xml:space="preserve">PHASE 2 — OBSERVATION ET CO-ANIMATION (1 À 3 MOIS)</w:t>
      </w:r>
    </w:p>
    <w:p>
      <w:pPr>
        <w:pStyle w:val="ListParagraph"/>
        <w:numPr>
          <w:ilvl w:val="0"/>
          <w:numId w:val="2"/>
        </w:numPr>
        <w:spacing w:after="40" w:before="40" w:line="280"/>
      </w:pPr>
      <w:r>
        <w:rPr>
          <w:rFonts w:ascii="Arial" w:cs="Arial" w:eastAsia="Arial" w:hAnsi="Arial"/>
          <w:color w:val="2C2C2A"/>
          <w:sz w:val="22"/>
          <w:szCs w:val="22"/>
        </w:rPr>
        <w:t xml:space="preserve">Observation d'au moins 1 session complète animée par un formateur sénior.</w:t>
      </w:r>
    </w:p>
    <w:p>
      <w:pPr>
        <w:pStyle w:val="ListParagraph"/>
        <w:numPr>
          <w:ilvl w:val="0"/>
          <w:numId w:val="2"/>
        </w:numPr>
        <w:spacing w:after="40" w:before="40" w:line="280"/>
      </w:pPr>
      <w:r>
        <w:rPr>
          <w:rFonts w:ascii="Arial" w:cs="Arial" w:eastAsia="Arial" w:hAnsi="Arial"/>
          <w:color w:val="2C2C2A"/>
          <w:sz w:val="22"/>
          <w:szCs w:val="22"/>
        </w:rPr>
        <w:t xml:space="preserve">Co-animation d'au moins 1 demi-journée — alternance des prises en main.</w:t>
      </w:r>
    </w:p>
    <w:p>
      <w:pPr>
        <w:pStyle w:val="ListParagraph"/>
        <w:numPr>
          <w:ilvl w:val="0"/>
          <w:numId w:val="2"/>
        </w:numPr>
        <w:spacing w:after="40" w:before="40" w:line="280"/>
      </w:pPr>
      <w:r>
        <w:rPr>
          <w:rFonts w:ascii="Arial" w:cs="Arial" w:eastAsia="Arial" w:hAnsi="Arial"/>
          <w:color w:val="2C2C2A"/>
          <w:sz w:val="22"/>
          <w:szCs w:val="22"/>
        </w:rPr>
        <w:t xml:space="preserve">Échanges réguliers avec le tuteur (debriefing post-session).</w:t>
      </w:r>
    </w:p>
    <w:p>
      <w:pPr>
        <w:pStyle w:val="ListParagraph"/>
        <w:numPr>
          <w:ilvl w:val="0"/>
          <w:numId w:val="2"/>
        </w:numPr>
        <w:spacing w:after="40" w:before="40" w:line="280"/>
      </w:pPr>
      <w:r>
        <w:rPr>
          <w:rFonts w:ascii="Arial" w:cs="Arial" w:eastAsia="Arial" w:hAnsi="Arial"/>
          <w:color w:val="2C2C2A"/>
          <w:sz w:val="22"/>
          <w:szCs w:val="22"/>
        </w:rPr>
        <w:t xml:space="preserve">Accès aux supports pédagogiques et documents type (programme M5, synopsis M21, grilles M29).</w:t>
      </w:r>
    </w:p>
    <w:p>
      <w:pPr>
        <w:spacing w:after="80"/>
      </w:pPr>
      <w:r>
        <w:t xml:space="preserve"/>
      </w:r>
    </w:p>
    <w:p>
      <w:pPr>
        <w:spacing w:after="80" w:before="200" w:line="300"/>
        <w:jc w:val="left"/>
      </w:pPr>
      <w:r>
        <w:rPr>
          <w:rFonts w:ascii="Arial" w:cs="Arial" w:eastAsia="Arial" w:hAnsi="Arial"/>
          <w:b/>
          <w:bCs/>
          <w:color w:val="D85A30"/>
          <w:spacing w:val="30"/>
          <w:sz w:val="18"/>
          <w:szCs w:val="18"/>
        </w:rPr>
        <w:t xml:space="preserve">PHASE 3 — PREMIÈRE SESSION EN AUTONOMIE SUPERVISÉE</w:t>
      </w:r>
    </w:p>
    <w:p>
      <w:pPr>
        <w:pStyle w:val="ListParagraph"/>
        <w:numPr>
          <w:ilvl w:val="0"/>
          <w:numId w:val="2"/>
        </w:numPr>
        <w:spacing w:after="40" w:before="40" w:line="280"/>
      </w:pPr>
      <w:r>
        <w:rPr>
          <w:rFonts w:ascii="Arial" w:cs="Arial" w:eastAsia="Arial" w:hAnsi="Arial"/>
          <w:color w:val="2C2C2A"/>
          <w:sz w:val="22"/>
          <w:szCs w:val="22"/>
        </w:rPr>
        <w:t xml:space="preserve">Animation complète d'une 1ère session avec supervision à distance par le tuteur.</w:t>
      </w:r>
    </w:p>
    <w:p>
      <w:pPr>
        <w:pStyle w:val="ListParagraph"/>
        <w:numPr>
          <w:ilvl w:val="0"/>
          <w:numId w:val="2"/>
        </w:numPr>
        <w:spacing w:after="40" w:before="40" w:line="280"/>
      </w:pPr>
      <w:r>
        <w:rPr>
          <w:rFonts w:ascii="Arial" w:cs="Arial" w:eastAsia="Arial" w:hAnsi="Arial"/>
          <w:color w:val="2C2C2A"/>
          <w:sz w:val="22"/>
          <w:szCs w:val="22"/>
        </w:rPr>
        <w:t xml:space="preserve">Visite pédagogique (au moins 1) par le responsable pédagogique pendant la session.</w:t>
      </w:r>
    </w:p>
    <w:p>
      <w:pPr>
        <w:pStyle w:val="ListParagraph"/>
        <w:numPr>
          <w:ilvl w:val="0"/>
          <w:numId w:val="2"/>
        </w:numPr>
        <w:spacing w:after="40" w:before="40" w:line="280"/>
      </w:pPr>
      <w:r>
        <w:rPr>
          <w:rFonts w:ascii="Arial" w:cs="Arial" w:eastAsia="Arial" w:hAnsi="Arial"/>
          <w:color w:val="2C2C2A"/>
          <w:sz w:val="22"/>
          <w:szCs w:val="22"/>
        </w:rPr>
        <w:t xml:space="preserve">Évaluation à chaud des bénéficiaires analysée conjointement.</w:t>
      </w:r>
    </w:p>
    <w:p>
      <w:pPr>
        <w:pStyle w:val="ListParagraph"/>
        <w:numPr>
          <w:ilvl w:val="0"/>
          <w:numId w:val="2"/>
        </w:numPr>
        <w:spacing w:after="40" w:before="40" w:line="280"/>
      </w:pPr>
      <w:r>
        <w:rPr>
          <w:rFonts w:ascii="Arial" w:cs="Arial" w:eastAsia="Arial" w:hAnsi="Arial"/>
          <w:color w:val="2C2C2A"/>
          <w:sz w:val="22"/>
          <w:szCs w:val="22"/>
        </w:rPr>
        <w:t xml:space="preserve">Bilan d'intégration formel à la fin de la 1ère session — décision d'habilitation pleine.</w:t>
      </w:r>
    </w:p>
    <w:p>
      <w:pPr>
        <w:pStyle w:val="Heading2"/>
        <w:spacing w:after="140" w:before="320"/>
      </w:pPr>
      <w:r>
        <w:rPr>
          <w:rFonts w:ascii="Arial" w:cs="Arial" w:eastAsia="Arial" w:hAnsi="Arial"/>
          <w:b/>
          <w:bCs/>
          <w:color w:val="0F2A47"/>
          <w:sz w:val="26"/>
          <w:szCs w:val="26"/>
        </w:rPr>
        <w:t xml:space="preserve">6 · Suivi annuel et renouvellement de l'habilitation</w:t>
      </w:r>
    </w:p>
    <w:p>
      <w:pPr>
        <w:spacing w:after="100" w:before="80" w:line="300"/>
        <w:jc w:val="left"/>
      </w:pPr>
      <w:r>
        <w:rPr>
          <w:rFonts w:ascii="Arial" w:cs="Arial" w:eastAsia="Arial" w:hAnsi="Arial"/>
          <w:b w:val="false"/>
          <w:bCs w:val="false"/>
          <w:i w:val="false"/>
          <w:iCs w:val="false"/>
          <w:color w:val="2C2C2A"/>
          <w:sz w:val="22"/>
          <w:szCs w:val="22"/>
        </w:rPr>
        <w:t xml:space="preserve">L'habilitation n'est pas définitive : elle est renouvelée annuellement sur la base d'un dossier de suivi.</w:t>
      </w:r>
    </w:p>
    <w:p>
      <w:pPr>
        <w:spacing w:after="80" w:before="200" w:line="300"/>
        <w:jc w:val="left"/>
      </w:pPr>
      <w:r>
        <w:rPr>
          <w:rFonts w:ascii="Arial" w:cs="Arial" w:eastAsia="Arial" w:hAnsi="Arial"/>
          <w:b/>
          <w:bCs/>
          <w:color w:val="D85A30"/>
          <w:spacing w:val="30"/>
          <w:sz w:val="18"/>
          <w:szCs w:val="18"/>
        </w:rPr>
        <w:t xml:space="preserve">ÉLÉMENTS DU DOSSIER DE RENOUVELLEMENT ANNUEL</w:t>
      </w:r>
    </w:p>
    <w:p>
      <w:pPr>
        <w:pStyle w:val="ListParagraph"/>
        <w:numPr>
          <w:ilvl w:val="0"/>
          <w:numId w:val="2"/>
        </w:numPr>
        <w:spacing w:after="40" w:before="40" w:line="280"/>
      </w:pPr>
      <w:r>
        <w:rPr>
          <w:rFonts w:ascii="Arial" w:cs="Arial" w:eastAsia="Arial" w:hAnsi="Arial"/>
          <w:color w:val="2C2C2A"/>
          <w:sz w:val="22"/>
          <w:szCs w:val="22"/>
        </w:rPr>
        <w:t xml:space="preserve">Mise à jour de la fiche compétences M38 — nouvelles formations, certifications.</w:t>
      </w:r>
    </w:p>
    <w:p>
      <w:pPr>
        <w:pStyle w:val="ListParagraph"/>
        <w:numPr>
          <w:ilvl w:val="0"/>
          <w:numId w:val="2"/>
        </w:numPr>
        <w:spacing w:after="40" w:before="40" w:line="280"/>
      </w:pPr>
      <w:r>
        <w:rPr>
          <w:rFonts w:ascii="Arial" w:cs="Arial" w:eastAsia="Arial" w:hAnsi="Arial"/>
          <w:color w:val="2C2C2A"/>
          <w:sz w:val="22"/>
          <w:szCs w:val="22"/>
        </w:rPr>
        <w:t xml:space="preserve">Synthèse des évaluations à chaud (cible ≥ 7/10) — alimentée par bilans session.</w:t>
      </w:r>
    </w:p>
    <w:p>
      <w:pPr>
        <w:pStyle w:val="ListParagraph"/>
        <w:numPr>
          <w:ilvl w:val="0"/>
          <w:numId w:val="2"/>
        </w:numPr>
        <w:spacing w:after="40" w:before="40" w:line="280"/>
      </w:pPr>
      <w:r>
        <w:rPr>
          <w:rFonts w:ascii="Arial" w:cs="Arial" w:eastAsia="Arial" w:hAnsi="Arial"/>
          <w:color w:val="2C2C2A"/>
          <w:sz w:val="22"/>
          <w:szCs w:val="22"/>
        </w:rPr>
        <w:t xml:space="preserve">Synthèse des taux d'assiduité et de réussite des bénéficiaires (M27, M29).</w:t>
      </w:r>
    </w:p>
    <w:p>
      <w:pPr>
        <w:pStyle w:val="ListParagraph"/>
        <w:numPr>
          <w:ilvl w:val="0"/>
          <w:numId w:val="2"/>
        </w:numPr>
        <w:spacing w:after="40" w:before="40" w:line="280"/>
      </w:pPr>
      <w:r>
        <w:rPr>
          <w:rFonts w:ascii="Arial" w:cs="Arial" w:eastAsia="Arial" w:hAnsi="Arial"/>
          <w:color w:val="2C2C2A"/>
          <w:sz w:val="22"/>
          <w:szCs w:val="22"/>
        </w:rPr>
        <w:t xml:space="preserve">Bilan des actions de formation continue et de veille (cible ≥ 14h / an — Ind. 22).</w:t>
      </w:r>
    </w:p>
    <w:p>
      <w:pPr>
        <w:pStyle w:val="ListParagraph"/>
        <w:numPr>
          <w:ilvl w:val="0"/>
          <w:numId w:val="2"/>
        </w:numPr>
        <w:spacing w:after="40" w:before="40" w:line="280"/>
      </w:pPr>
      <w:r>
        <w:rPr>
          <w:rFonts w:ascii="Arial" w:cs="Arial" w:eastAsia="Arial" w:hAnsi="Arial"/>
          <w:color w:val="2C2C2A"/>
          <w:sz w:val="22"/>
          <w:szCs w:val="22"/>
        </w:rPr>
        <w:t xml:space="preserve">Entretien annuel avec le responsable pédagogique — bilan + objectifs N+1.</w:t>
      </w:r>
    </w:p>
    <w:p>
      <w:pPr>
        <w:pStyle w:val="ListParagraph"/>
        <w:numPr>
          <w:ilvl w:val="0"/>
          <w:numId w:val="2"/>
        </w:numPr>
        <w:spacing w:after="40" w:before="40" w:line="280"/>
      </w:pPr>
      <w:r>
        <w:rPr>
          <w:rFonts w:ascii="Arial" w:cs="Arial" w:eastAsia="Arial" w:hAnsi="Arial"/>
          <w:color w:val="2C2C2A"/>
          <w:sz w:val="22"/>
          <w:szCs w:val="22"/>
        </w:rPr>
        <w:t xml:space="preserve">Le cas échéant : observations de visite pédagogique réalisées dans l'année.</w:t>
      </w:r>
    </w:p>
    <w:p>
      <w:pPr>
        <w:spacing w:after="120"/>
      </w:pPr>
      <w:r>
        <w:t xml:space="preserve"/>
      </w:r>
    </w:p>
    <w:p>
      <w:pPr>
        <w:spacing w:after="80" w:before="200" w:line="300"/>
        <w:jc w:val="left"/>
      </w:pPr>
      <w:r>
        <w:rPr>
          <w:rFonts w:ascii="Arial" w:cs="Arial" w:eastAsia="Arial" w:hAnsi="Arial"/>
          <w:b/>
          <w:bCs/>
          <w:color w:val="D85A30"/>
          <w:spacing w:val="30"/>
          <w:sz w:val="18"/>
          <w:szCs w:val="18"/>
        </w:rPr>
        <w:t xml:space="preserve">CONDITIONS DE POURSUITE, AJUSTEMENT OU SUSPENSION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Critère composite (synthèse annuelle)</w:t>
            </w:r>
          </w:p>
        </w:tc>
        <w:tc>
          <w:tcPr>
            <w:tcW w:type="dxa" w:w="336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Décision</w:t>
            </w:r>
          </w:p>
        </w:tc>
      </w:tr>
      <w:tr>
        <w:tc>
          <w:tcPr>
            <w:tcW w:type="dxa" w:w="6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Tous indicateurs OK — formation continue ≥ 14 h — satisfaction ≥ 7/10</w:t>
            </w:r>
          </w:p>
        </w:tc>
        <w:tc>
          <w:tcPr>
            <w:tcW w:type="dxa" w:w="33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Renouvellement automatique</w:t>
            </w:r>
          </w:p>
        </w:tc>
      </w:tr>
      <w:tr>
        <w:tc>
          <w:tcPr>
            <w:tcW w:type="dxa" w:w="6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Indicateurs OK — formation continue insuffisante</w:t>
            </w:r>
          </w:p>
        </w:tc>
        <w:tc>
          <w:tcPr>
            <w:tcW w:type="dxa" w:w="33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Renouvellement conditionné à un PDC N+1</w:t>
            </w:r>
          </w:p>
        </w:tc>
      </w:tr>
      <w:tr>
        <w:tc>
          <w:tcPr>
            <w:tcW w:type="dxa" w:w="6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Satisfaction &lt; 7/10 OU plaintes répétées tracées</w:t>
            </w:r>
          </w:p>
        </w:tc>
        <w:tc>
          <w:tcPr>
            <w:tcW w:type="dxa" w:w="33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Plan d'amélioration formalisé</w:t>
            </w:r>
          </w:p>
        </w:tc>
      </w:tr>
      <w:tr>
        <w:tc>
          <w:tcPr>
            <w:tcW w:type="dxa" w:w="6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Manquement déontologique avéré (BC) OU absence prolongée</w:t>
            </w:r>
          </w:p>
        </w:tc>
        <w:tc>
          <w:tcPr>
            <w:tcW w:type="dxa" w:w="33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Suspension immédiate — instruction + décision</w:t>
            </w:r>
          </w:p>
        </w:tc>
      </w:tr>
      <w:tr>
        <w:tc>
          <w:tcPr>
            <w:tcW w:type="dxa" w:w="6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Refus de formation continue / absence d'engagement Qualiopi</w:t>
            </w:r>
          </w:p>
        </w:tc>
        <w:tc>
          <w:tcPr>
            <w:tcW w:type="dxa" w:w="33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Non-renouvellement de l'habilitation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Important  </w:t>
            </w:r>
            <w:r>
              <w:rPr>
                <w:rFonts w:ascii="Arial" w:cs="Arial" w:eastAsia="Arial" w:hAnsi="Arial"/>
                <w:color w:val="2C2C2A"/>
                <w:sz w:val="18"/>
                <w:szCs w:val="18"/>
              </w:rPr>
              <w:t xml:space="preserve">Toute décision de non-renouvellement ou de suspension est tracée par ÉCRIT (notification motivée). Le formateur dispose d'un droit de réponse et de recours interne (cf. procédure de réclamation Ind. 31). L'oralité n'est PAS une preuve auditable.</w:t>
            </w:r>
          </w:p>
        </w:tc>
      </w:tr>
    </w:tbl>
    <w:p>
      <w:pPr>
        <w:pStyle w:val="Heading2"/>
        <w:spacing w:after="140" w:before="320"/>
      </w:pPr>
      <w:r>
        <w:rPr>
          <w:rFonts w:ascii="Arial" w:cs="Arial" w:eastAsia="Arial" w:hAnsi="Arial"/>
          <w:b/>
          <w:bCs/>
          <w:color w:val="0F2A47"/>
          <w:sz w:val="26"/>
          <w:szCs w:val="26"/>
        </w:rPr>
        <w:t xml:space="preserve">7 · Documents associés</w:t>
      </w:r>
    </w:p>
    <w:p>
      <w:pPr>
        <w:pStyle w:val="ListParagraph"/>
        <w:numPr>
          <w:ilvl w:val="0"/>
          <w:numId w:val="2"/>
        </w:numPr>
        <w:spacing w:after="40" w:before="40" w:line="280"/>
      </w:pPr>
      <w:r>
        <w:rPr>
          <w:rFonts w:ascii="Arial" w:cs="Arial" w:eastAsia="Arial" w:hAnsi="Arial"/>
          <w:color w:val="2C2C2A"/>
          <w:sz w:val="22"/>
          <w:szCs w:val="22"/>
        </w:rPr>
        <w:t xml:space="preserve">M38 — Fiche compétences formateur (CV qualifié) — constituée pour chaque intervenant.</w:t>
      </w:r>
    </w:p>
    <w:p>
      <w:pPr>
        <w:pStyle w:val="ListParagraph"/>
        <w:numPr>
          <w:ilvl w:val="0"/>
          <w:numId w:val="2"/>
        </w:numPr>
        <w:spacing w:after="40" w:before="40" w:line="280"/>
      </w:pPr>
      <w:r>
        <w:rPr>
          <w:rFonts w:ascii="Arial" w:cs="Arial" w:eastAsia="Arial" w:hAnsi="Arial"/>
          <w:color w:val="2C2C2A"/>
          <w:sz w:val="22"/>
          <w:szCs w:val="22"/>
        </w:rPr>
        <w:t xml:space="preserve">M39 — Matrice « qui forme sur quoi » — vue d'ensemble par module / intervenant.</w:t>
      </w:r>
    </w:p>
    <w:p>
      <w:pPr>
        <w:pStyle w:val="ListParagraph"/>
        <w:numPr>
          <w:ilvl w:val="0"/>
          <w:numId w:val="2"/>
        </w:numPr>
        <w:spacing w:after="40" w:before="40" w:line="280"/>
      </w:pPr>
      <w:r>
        <w:rPr>
          <w:rFonts w:ascii="Arial" w:cs="Arial" w:eastAsia="Arial" w:hAnsi="Arial"/>
          <w:color w:val="2C2C2A"/>
          <w:sz w:val="22"/>
          <w:szCs w:val="22"/>
        </w:rPr>
        <w:t xml:space="preserve">M41 — Convention de prestation formateur (sous-traitance / vacation).</w:t>
      </w:r>
    </w:p>
    <w:p>
      <w:pPr>
        <w:pStyle w:val="ListParagraph"/>
        <w:numPr>
          <w:ilvl w:val="0"/>
          <w:numId w:val="2"/>
        </w:numPr>
        <w:spacing w:after="40" w:before="40" w:line="280"/>
      </w:pPr>
      <w:r>
        <w:rPr>
          <w:rFonts w:ascii="Arial" w:cs="Arial" w:eastAsia="Arial" w:hAnsi="Arial"/>
          <w:color w:val="2C2C2A"/>
          <w:sz w:val="22"/>
          <w:szCs w:val="22"/>
        </w:rPr>
        <w:t xml:space="preserve">M42 — Plan de Développement des Compétences (PDC) + Registre entretiens.</w:t>
      </w:r>
    </w:p>
    <w:p>
      <w:pPr>
        <w:pStyle w:val="ListParagraph"/>
        <w:numPr>
          <w:ilvl w:val="0"/>
          <w:numId w:val="2"/>
        </w:numPr>
        <w:spacing w:after="40" w:before="40" w:line="280"/>
      </w:pPr>
      <w:r>
        <w:rPr>
          <w:rFonts w:ascii="Arial" w:cs="Arial" w:eastAsia="Arial" w:hAnsi="Arial"/>
          <w:color w:val="2C2C2A"/>
          <w:sz w:val="22"/>
          <w:szCs w:val="22"/>
        </w:rPr>
        <w:t xml:space="preserve">Règlement intérieur de l'organisme — communiqué à tout nouveau formateur.</w:t>
      </w:r>
    </w:p>
    <w:p>
      <w:pPr>
        <w:pStyle w:val="ListParagraph"/>
        <w:numPr>
          <w:ilvl w:val="0"/>
          <w:numId w:val="2"/>
        </w:numPr>
        <w:spacing w:after="40" w:before="40" w:line="280"/>
      </w:pPr>
      <w:r>
        <w:rPr>
          <w:rFonts w:ascii="Arial" w:cs="Arial" w:eastAsia="Arial" w:hAnsi="Arial"/>
          <w:color w:val="2C2C2A"/>
          <w:sz w:val="22"/>
          <w:szCs w:val="22"/>
        </w:rPr>
        <w:t xml:space="preserve">Charte de déontologie BC (M14) — si intervention en bilan de compétences.</w:t>
      </w:r>
    </w:p>
    <w:p>
      <w:pPr>
        <w:spacing w:after="280"/>
      </w:pPr>
      <w:r>
        <w:t xml:space="preserve"/>
      </w:r>
    </w:p>
    <w:p>
      <w:pPr>
        <w:spacing w:after="80" w:before="200" w:line="300"/>
        <w:jc w:val="left"/>
      </w:pPr>
      <w:r>
        <w:rPr>
          <w:rFonts w:ascii="Arial" w:cs="Arial" w:eastAsia="Arial" w:hAnsi="Arial"/>
          <w:b/>
          <w:bCs/>
          <w:color w:val="D85A30"/>
          <w:spacing w:val="30"/>
          <w:sz w:val="18"/>
          <w:szCs w:val="18"/>
        </w:rPr>
        <w:t xml:space="preserve">VALIDATION DE LA PROCÉDURE</w:t>
      </w:r>
    </w:p>
    <w:p>
      <w:pPr>
        <w:spacing w:after="200" w:before="80" w:line="300"/>
        <w:jc w:val="left"/>
      </w:pPr>
      <w:r>
        <w:rPr>
          <w:rFonts w:ascii="Arial" w:cs="Arial" w:eastAsia="Arial" w:hAnsi="Arial"/>
          <w:b w:val="false"/>
          <w:bCs w:val="false"/>
          <w:i w:val="false"/>
          <w:iCs w:val="false"/>
          <w:color w:val="2C2C2A"/>
          <w:sz w:val="22"/>
          <w:szCs w:val="22"/>
        </w:rPr>
        <w:t xml:space="preserve">Fait à [ ville ], le [ date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80" w:before="0" w:line="300"/>
              <w:jc w:val="left"/>
            </w:pPr>
            <w:r>
              <w:rPr>
                <w:rFonts w:ascii="Arial" w:cs="Arial" w:eastAsia="Arial" w:hAnsi="Arial"/>
                <w:b w:val="false"/>
                <w:bCs w:val="false"/>
                <w:i w:val="false"/>
                <w:iCs w:val="false"/>
                <w:color w:val="5F5E5A"/>
                <w:sz w:val="20"/>
                <w:szCs w:val="20"/>
              </w:rPr>
              <w:t xml:space="preserve">Responsable pédagogique,</w:t>
            </w:r>
          </w:p>
          <w:p>
            <w:pPr>
              <w:spacing w:after="40" w:before="80" w:line="300"/>
              <w:jc w:val="left"/>
            </w:pPr>
            <w:r>
              <w:rPr>
                <w:rFonts w:ascii="Arial" w:cs="Arial" w:eastAsia="Arial" w:hAnsi="Arial"/>
                <w:b/>
                <w:bCs/>
                <w:i w:val="false"/>
                <w:iCs w:val="false"/>
                <w:color w:val="2C2C2A"/>
                <w:sz w:val="22"/>
                <w:szCs w:val="22"/>
              </w:rPr>
              <w:t xml:space="preserve">[ Prénom NOM ]</w:t>
            </w:r>
          </w:p>
          <w:p>
            <w:pPr>
              <w:spacing w:after="240" w:before="0" w:line="300"/>
              <w:jc w:val="left"/>
            </w:pPr>
            <w:r>
              <w:rPr>
                <w:rFonts w:ascii="Arial" w:cs="Arial" w:eastAsia="Arial" w:hAnsi="Arial"/>
                <w:b w:val="false"/>
                <w:bCs w:val="false"/>
                <w:i w:val="false"/>
                <w:iCs w:val="false"/>
                <w:color w:val="5F5E5A"/>
                <w:sz w:val="20"/>
                <w:szCs w:val="20"/>
              </w:rPr>
              <w:t xml:space="preserve">Approbation</w:t>
            </w:r>
          </w:p>
          <w:p>
            <w:pPr>
              <w:spacing w:after="0" w:before="0" w:line="300"/>
              <w:jc w:val="left"/>
            </w:pPr>
            <w:r>
              <w:rPr>
                <w:rFonts w:ascii="Arial" w:cs="Arial" w:eastAsia="Arial" w:hAnsi="Arial"/>
                <w:b w:val="false"/>
                <w:bCs w:val="false"/>
                <w:i/>
                <w:iCs/>
                <w:color w:val="888780"/>
                <w:sz w:val="18"/>
                <w:szCs w:val="18"/>
              </w:rPr>
              <w:t xml:space="preserve">Signature et cachet :</w:t>
            </w:r>
          </w:p>
          <w:p>
            <w:pPr>
              <w:spacing w:after="800"/>
            </w:pPr>
            <w:r>
              <w:t xml:space="preserve"/>
            </w:r>
          </w:p>
        </w:tc>
        <w:tc>
          <w:tcPr>
            <w:tcW w:type="dxa" w:w="4680"/>
            <w:tcBorders>
              <w:top w:val="none" w:color="FFFFFF" w:sz="0"/>
              <w:left w:val="none" w:color="FFFFFF" w:sz="0"/>
              <w:bottom w:val="none" w:color="FFFFFF" w:sz="0"/>
              <w:right w:val="none" w:color="FFFFFF" w:sz="0"/>
            </w:tcBorders>
            <w:tcMar>
              <w:top w:type="dxa" w:w="60"/>
              <w:left w:type="dxa" w:w="200"/>
              <w:bottom w:type="dxa" w:w="60"/>
              <w:right w:type="dxa" w:w="0"/>
            </w:tcMar>
          </w:tcPr>
          <w:p>
            <w:pPr>
              <w:spacing w:after="80" w:before="0" w:line="300"/>
              <w:jc w:val="left"/>
            </w:pPr>
            <w:r>
              <w:rPr>
                <w:rFonts w:ascii="Arial" w:cs="Arial" w:eastAsia="Arial" w:hAnsi="Arial"/>
                <w:b w:val="false"/>
                <w:bCs w:val="false"/>
                <w:i w:val="false"/>
                <w:iCs w:val="false"/>
                <w:color w:val="5F5E5A"/>
                <w:sz w:val="20"/>
                <w:szCs w:val="20"/>
              </w:rPr>
              <w:t xml:space="preserve">Direction,</w:t>
            </w:r>
          </w:p>
          <w:p>
            <w:pPr>
              <w:spacing w:after="40" w:before="80" w:line="300"/>
              <w:jc w:val="left"/>
            </w:pPr>
            <w:r>
              <w:rPr>
                <w:rFonts w:ascii="Arial" w:cs="Arial" w:eastAsia="Arial" w:hAnsi="Arial"/>
                <w:b w:val="false"/>
                <w:bCs w:val="false"/>
                <w:i/>
                <w:iCs/>
                <w:color w:val="888780"/>
                <w:sz w:val="18"/>
                <w:szCs w:val="18"/>
              </w:rPr>
              <w:t xml:space="preserve">Validation finale</w:t>
            </w:r>
          </w:p>
          <w:p>
            <w:pPr>
              <w:spacing w:after="240" w:before="0" w:line="300"/>
              <w:jc w:val="left"/>
            </w:pPr>
            <w:r>
              <w:rPr>
                <w:rFonts w:ascii="Arial" w:cs="Arial" w:eastAsia="Arial" w:hAnsi="Arial"/>
                <w:b w:val="false"/>
                <w:bCs w:val="false"/>
                <w:i/>
                <w:iCs/>
                <w:color w:val="888780"/>
                <w:sz w:val="18"/>
                <w:szCs w:val="18"/>
              </w:rPr>
              <w:t xml:space="preserve">Fait à [ ville ], le [ date ]</w:t>
            </w:r>
          </w:p>
          <w:p>
            <w:pPr>
              <w:spacing w:after="0" w:before="0" w:line="300"/>
              <w:jc w:val="left"/>
            </w:pPr>
            <w:r>
              <w:rPr>
                <w:rFonts w:ascii="Arial" w:cs="Arial" w:eastAsia="Arial" w:hAnsi="Arial"/>
                <w:b w:val="false"/>
                <w:bCs w:val="false"/>
                <w:i/>
                <w:iCs/>
                <w:color w:val="888780"/>
                <w:sz w:val="18"/>
                <w:szCs w:val="18"/>
              </w:rPr>
              <w:t xml:space="preserve">Signature :</w:t>
            </w:r>
          </w:p>
          <w:p>
            <w:pPr>
              <w:spacing w:after="800"/>
            </w:pPr>
            <w:r>
              <w:t xml:space="preserve"/>
            </w:r>
          </w:p>
        </w:tc>
      </w:tr>
    </w:tbl>
    <w:sectPr>
      <w:headerReference w:type="default" r:id="rId7"/>
      <w:footerReference w:type="default" r:id="rId8"/>
      <w:pgSz w:w="11906" w:h="16838" w:orient="portrait"/>
      <w:pgMar w:top="1200" w:right="1280" w:bottom="1100" w:left="1280" w:header="48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jc w:val="center"/>
    </w:pPr>
    <w:r>
      <w:rPr>
        <w:rFonts w:ascii="Arial" w:cs="Arial" w:eastAsia="Arial" w:hAnsi="Arial"/>
        <w:color w:val="888780"/>
        <w:sz w:val="16"/>
        <w:szCs w:val="16"/>
      </w:rPr>
      <w:t xml:space="preserve">Modèle M40 — Procédure recrutement et habilitation (Pédagogique)</w:t>
    </w:r>
    <w:r>
      <w:rPr>
        <w:rFonts w:ascii="Arial" w:cs="Arial" w:eastAsia="Arial" w:hAnsi="Arial"/>
        <w:color w:val="888780"/>
        <w:sz w:val="16"/>
        <w:szCs w:val="16"/>
      </w:rPr>
      <w:t xml:space="preserve">    ·    Page </w:t>
    </w:r>
    <w:r>
      <w:rPr>
        <w:rFonts w:ascii="Arial" w:cs="Arial" w:eastAsia="Arial" w:hAnsi="Arial"/>
        <w:color w:val="888780"/>
        <w:sz w:val="16"/>
        <w:szCs w:val="16"/>
      </w:rPr>
      <w:fldChar w:fldCharType="begin"/>
      <w:instrText xml:space="preserve">PAGE</w:instrText>
      <w:fldChar w:fldCharType="separate"/>
      <w:fldChar w:fldCharType="end"/>
    </w:r>
    <w:r>
      <w:rPr>
        <w:rFonts w:ascii="Arial" w:cs="Arial" w:eastAsia="Arial" w:hAnsi="Arial"/>
        <w:color w:val="888780"/>
        <w:sz w:val="16"/>
        <w:szCs w:val="16"/>
      </w:rPr>
      <w:t xml:space="preserve"> / </w:t>
    </w:r>
    <w:r>
      <w:rPr>
        <w:rFonts w:ascii="Arial" w:cs="Arial" w:eastAsia="Arial" w:hAnsi="Arial"/>
        <w:color w:val="8887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4" w:space="4"/>
      </w:pBdr>
      <w:spacing w:after="100"/>
      <w:jc w:val="right"/>
    </w:pPr>
    <w:r>
      <w:rPr>
        <w:rFonts w:ascii="Arial" w:cs="Arial" w:eastAsia="Arial" w:hAnsi="Arial"/>
        <w:i/>
        <w:iCs/>
        <w:color w:val="888780"/>
        <w:sz w:val="16"/>
        <w:szCs w:val="16"/>
      </w:rPr>
      <w:t xml:space="preserve">Modèle M40 — Procédure recrutement et habilitation (Pédagogique)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b/>
        <w:bCs/>
        <w:color w:val="D85A3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00"/>
      <w:outlineLvl w:val="0"/>
    </w:pPr>
    <w:rPr>
      <w:rFonts w:ascii="Arial" w:cs="Arial" w:eastAsia="Arial" w:hAnsi="Arial"/>
      <w:b/>
      <w:bCs/>
      <w:color w:val="0F2A47"/>
      <w:sz w:val="40"/>
      <w:szCs w:val="40"/>
    </w:rPr>
  </w:style>
  <w:style w:type="paragraph" w:styleId="Heading2">
    <w:name w:val="Heading 2"/>
    <w:basedOn w:val="Normal"/>
    <w:next w:val="Normal"/>
    <w:qFormat/>
    <w:pPr>
      <w:spacing w:after="140" w:before="320"/>
      <w:outlineLvl w:val="1"/>
    </w:pPr>
    <w:rPr>
      <w:rFonts w:ascii="Arial" w:cs="Arial" w:eastAsia="Arial" w:hAnsi="Arial"/>
      <w:b/>
      <w:bCs/>
      <w:color w:val="0F2A4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M40 — Procédure recrutement et habilitation (Pédagogique)</dc:title>
  <dc:creator>So Forma — Production Qualiopi</dc:creator>
  <dc:description>Modèle Qualiopi — Charte 2026</dc:description>
  <cp:lastModifiedBy>Un-named</cp:lastModifiedBy>
  <cp:revision>1</cp:revision>
  <dcterms:created xsi:type="dcterms:W3CDTF">2026-05-14T18:30:07.055Z</dcterms:created>
  <dcterms:modified xsi:type="dcterms:W3CDTF">2026-05-14T18:30:07.055Z</dcterms:modified>
</cp:coreProperties>
</file>

<file path=docProps/custom.xml><?xml version="1.0" encoding="utf-8"?>
<Properties xmlns="http://schemas.openxmlformats.org/officeDocument/2006/custom-properties" xmlns:vt="http://schemas.openxmlformats.org/officeDocument/2006/docPropsVTypes"/>
</file>