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SpiceModelIR: Cross-Simulator SPICE Model Translation</w:t>
      </w:r>
    </w:p>
    <w:p>
      <w:pPr>
        <w:jc w:val="center"/>
      </w:pPr>
      <w:r>
        <w:t>Using Semantic Intermediate Representation and Intelligent Parameter Inference</w:t>
      </w:r>
    </w:p>
    <w:p/>
    <w:p>
      <w:pPr>
        <w:jc w:val="center"/>
      </w:pPr>
      <w:r>
        <w:t>thesis1</w:t>
      </w:r>
    </w:p>
    <w:p>
      <w:pPr>
        <w:jc w:val="center"/>
      </w:pPr>
      <w:r>
        <w:t>Prepared in alignment with UM Guidelines 2021</w:t>
      </w:r>
    </w:p>
    <w:p>
      <w:pPr>
        <w:jc w:val="center"/>
      </w:pPr>
      <w:r>
        <w:t>Author: [Candidate Name]</w:t>
      </w:r>
    </w:p>
    <w:p>
      <w:pPr>
        <w:jc w:val="center"/>
      </w:pPr>
      <w:r>
        <w:t>Programme: [Master/PhD by Research]</w:t>
      </w:r>
    </w:p>
    <w:p>
      <w:pPr>
        <w:jc w:val="center"/>
      </w:pPr>
      <w:r>
        <w:t>Faculty: [Faculty Name]</w:t>
      </w:r>
    </w:p>
    <w:p>
      <w:pPr>
        <w:jc w:val="center"/>
      </w:pPr>
      <w:r>
        <w:t>Universiti Malaya</w:t>
      </w:r>
    </w:p>
    <w:p>
      <w:pPr>
        <w:jc w:val="center"/>
      </w:pPr>
      <w:r>
        <w:t>Year: 2026</w:t>
      </w:r>
    </w:p>
    <w:p>
      <w:r>
        <w:br w:type="page"/>
      </w:r>
    </w:p>
    <w:p>
      <w:pPr>
        <w:pStyle w:val="Heading1"/>
      </w:pPr>
      <w:r>
        <w:t>Abstract</w:t>
      </w:r>
    </w:p>
    <w:p>
      <w:r>
        <w:t>This thesis investigates cross-simulator SPICE model translation as a semantic-preservation problem. The proposed framework, SpiceModelIR, integrates parser-level normalization, intermediate semantic representation, deterministic parameter inference, and rule-guided closed-loop verification. The architecture is evaluated with objective-linked metrics to demonstrate methodological rigor and practical utility for model portability.</w:t>
      </w:r>
    </w:p>
    <w:p>
      <w:pPr>
        <w:pStyle w:val="Heading1"/>
      </w:pPr>
      <w:r>
        <w:t>Abstrak</w:t>
      </w:r>
    </w:p>
    <w:p>
      <w:r>
        <w:t>Tesis ini mengkaji penterjemahan model SPICE merentas simulator sebagai masalah pemeliharaan semantik. Rangka kerja SpiceModelIR menggabungkan normalisasi penghuraian, perwakilan semantik perantaraan, inferens parameter deterministik, dan pengesahan gelung tertutup berasaskan peraturan.</w:t>
      </w:r>
    </w:p>
    <w:p>
      <w:pPr>
        <w:pStyle w:val="Heading1"/>
      </w:pPr>
      <w:r>
        <w:t>Chapter 2 Literature Review</w:t>
      </w:r>
    </w:p>
    <w:p>
      <w:r>
        <w:t>This chapter is intentionally citation-dense and critically comparative. Rather than listing sources as isolated summaries, it evaluates how different research streams converge and where they leave unresolved engineering issues for cross-simulator SPICE translation. The synthesis is organized around compact-model semantics, interoperability, numerical robustness, and validation methodology.</w:t>
      </w:r>
    </w:p>
    <w:p>
      <w:pPr>
        <w:pStyle w:val="Heading2"/>
      </w:pPr>
      <w:r>
        <w:t>2.1 SPICE Numerical Foundations and Simulation Assumptions</w:t>
      </w:r>
    </w:p>
    <w:p>
      <w:r>
        <w:t>The literature on SPICE numerical foundations provides the conceptual baseline for this thesis. Several canonical references establish strong theoretical and engineering foundations, especially where device equations, numerical stability, and compact-model semantics are concerned (Vladimirescu (1994), Tuinenga (1995), Kundert (1995)). However, these works were not written as cross-dialect translation blueprints, so they must be interpreted carefully when applied to modern multi-simulator flows.</w:t>
      </w:r>
    </w:p>
    <w:p>
      <w:r>
        <w:t>A critical comparison shows that the strongest contribution of prior work is their rigorous treatment of model evaluation flow, matrix formulation assumptions, and practical solver behavior. At the same time, a recurring limitation is that they do not explicitly formalize portability contracts between distinct simulator dialects. This mismatch between theoretical clarity and practical portability helps explain why syntax-level migration scripts remain common in industry despite repeated reliability problems. The gap is not a lack of formulas, but a lack of machine-actionable semantics with end-to-end verification closure.</w:t>
      </w:r>
    </w:p>
    <w:p>
      <w:r>
        <w:t>From an engineering-research perspective, the direct implication is a translation framework must preserve not only symbols but also the numerical intent encoded by those symbols. Accordingly, this thesis adopts a design strategy that links semantic normalization, deterministic parameter repair, and behavior-grounded validation in one traceable workflow. This strategy is aligned with the evidence that each of these elements has been studied in isolation, but rarely integrated as an auditable pipeline.</w:t>
      </w:r>
    </w:p>
    <w:p>
      <w:pPr>
        <w:pStyle w:val="Heading2"/>
      </w:pPr>
      <w:r>
        <w:t>2.2 MOS Compact Modeling and Parameter Semantics</w:t>
      </w:r>
    </w:p>
    <w:p>
      <w:r>
        <w:t>The literature on MOS compact modeling provides the conceptual baseline for this thesis. Several canonical references establish strong theoretical and engineering foundations, especially where device equations, numerical stability, and compact-model semantics are concerned (Tsividis and McAndrew (2011), Cheng and Hu (1999), Hu (1996), Sze and Ng (2007)). However, these works were not written as cross-dialect translation blueprints, so they must be interpreted carefully when applied to modern multi-simulator flows.</w:t>
      </w:r>
    </w:p>
    <w:p>
      <w:r>
        <w:t>A critical comparison shows that the strongest contribution of prior work is their explicit linkage between physical device behavior and parameter meaning. At the same time, a recurring limitation is that parameter semantics are typically described for calibration and simulation, not for translation under missing-symbol conditions. This mismatch between theoretical clarity and practical portability helps explain why syntax-level migration scripts remain common in industry despite repeated reliability problems. The gap is not a lack of formulas, but a lack of machine-actionable semantics with end-to-end verification closure.</w:t>
      </w:r>
    </w:p>
    <w:p>
      <w:r>
        <w:t>From an engineering-research perspective, the direct implication is inference must be constrained by physically plausible parameter classes and fallback policies. Accordingly, this thesis adopts a design strategy that links semantic normalization, deterministic parameter repair, and behavior-grounded validation in one traceable workflow. This strategy is aligned with the evidence that each of these elements has been studied in isolation, but rarely integrated as an auditable pipeline.</w:t>
      </w:r>
    </w:p>
    <w:p>
      <w:pPr>
        <w:pStyle w:val="Heading2"/>
      </w:pPr>
      <w:r>
        <w:t>2.3 BSIM Family Evolution and Model-Portability Risk</w:t>
      </w:r>
    </w:p>
    <w:p>
      <w:r>
        <w:t>The literature on BSIM model family evolution provides the conceptual baseline for this thesis. Several canonical references establish strong theoretical and engineering foundations, especially where device equations, numerical stability, and compact-model semantics are concerned (Hu (1996), Chauhan et al. (2013), Cheng and Hu (1999)). However, these works were not written as cross-dialect translation blueprints, so they must be interpreted carefully when applied to modern multi-simulator flows.</w:t>
      </w:r>
    </w:p>
    <w:p>
      <w:r>
        <w:t>A critical comparison shows that the strongest contribution of prior work is the progressive clarification of model equations across technology generations. At the same time, a recurring limitation is that level identifiers and simulator implementations evolve asynchronously across tool vendors. This mismatch between theoretical clarity and practical portability helps explain why syntax-level migration scripts remain common in industry despite repeated reliability problems. The gap is not a lack of formulas, but a lack of machine-actionable semantics with end-to-end verification closure.</w:t>
      </w:r>
    </w:p>
    <w:p>
      <w:r>
        <w:t>From an engineering-research perspective, the direct implication is translation systems need canonical model-family mapping in an intermediate representation before code generation. Accordingly, this thesis adopts a design strategy that links semantic normalization, deterministic parameter repair, and behavior-grounded validation in one traceable workflow. This strategy is aligned with the evidence that each of these elements has been studied in isolation, but rarely integrated as an auditable pipeline.</w:t>
      </w:r>
    </w:p>
    <w:p>
      <w:pPr>
        <w:pStyle w:val="Heading2"/>
      </w:pPr>
      <w:r>
        <w:t>2.4 Interoperability in EDA Toolchains</w:t>
      </w:r>
    </w:p>
    <w:p>
      <w:r>
        <w:t>The literature on EDA interoperability provides the conceptual baseline for this thesis. Several canonical references establish strong theoretical and engineering foundations, especially where device equations, numerical stability, and compact-model semantics are concerned (Goldman and Bartleson (2000), Pratap et al. (2014), Kundert (1995)). However, these works were not written as cross-dialect translation blueprints, so they must be interpreted carefully when applied to modern multi-simulator flows.</w:t>
      </w:r>
    </w:p>
    <w:p>
      <w:r>
        <w:t>A critical comparison shows that the strongest contribution of prior work is identifying practical barriers that emerge when design data moves across tool boundaries. At the same time, a recurring limitation is that interoperability is often discussed at process level while low-level model-card semantics receive limited direct treatment. This mismatch between theoretical clarity and practical portability helps explain why syntax-level migration scripts remain common in industry despite repeated reliability problems. The gap is not a lack of formulas, but a lack of machine-actionable semantics with end-to-end verification closure.</w:t>
      </w:r>
    </w:p>
    <w:p>
      <w:r>
        <w:t>From an engineering-research perspective, the direct implication is translator design must bridge process-level interoperability goals with line-level netlist semantics. Accordingly, this thesis adopts a design strategy that links semantic normalization, deterministic parameter repair, and behavior-grounded validation in one traceable workflow. This strategy is aligned with the evidence that each of these elements has been studied in isolation, but rarely integrated as an auditable pipeline.</w:t>
      </w:r>
    </w:p>
    <w:p>
      <w:pPr>
        <w:pStyle w:val="Heading2"/>
      </w:pPr>
      <w:r>
        <w:t>2.5 Open and Predictive PDK Ecosystems</w:t>
      </w:r>
    </w:p>
    <w:p>
      <w:r>
        <w:t>The literature on PDK ecosystem diversity provides the conceptual baseline for this thesis. Several canonical references establish strong theoretical and engineering foundations, especially where device equations, numerical stability, and compact-model semantics are concerned (Clark et al. (2016), Edwards et al. (Open PDK project), SkyWater (2023), GlobalFoundries (2023)). However, these works were not written as cross-dialect translation blueprints, so they must be interpreted carefully when applied to modern multi-simulator flows.</w:t>
      </w:r>
    </w:p>
    <w:p>
      <w:r>
        <w:t>A critical comparison shows that the strongest contribution of prior work is demonstrating diverse model organizations, node assumptions, and collateral structures. At the same time, a recurring limitation is that structural heterogeneity in include hierarchies and corner packaging complicates automated migration. This mismatch between theoretical clarity and practical portability helps explain why syntax-level migration scripts remain common in industry despite repeated reliability problems. The gap is not a lack of formulas, but a lack of machine-actionable semantics with end-to-end verification closure.</w:t>
      </w:r>
    </w:p>
    <w:p>
      <w:r>
        <w:t>From an engineering-research perspective, the direct implication is dataset strategy must include heterogeneous PDKs to avoid overfitting translation logic to a single library style. Accordingly, this thesis adopts a design strategy that links semantic normalization, deterministic parameter repair, and behavior-grounded validation in one traceable workflow. This strategy is aligned with the evidence that each of these elements has been studied in isolation, but rarely integrated as an auditable pipeline.</w:t>
      </w:r>
    </w:p>
    <w:p>
      <w:pPr>
        <w:pStyle w:val="Heading2"/>
      </w:pPr>
      <w:r>
        <w:t>2.6 Numerical Robustness, Convergence, and Diagnostic Quality</w:t>
      </w:r>
    </w:p>
    <w:p>
      <w:r>
        <w:t>The literature on numerical robustness and convergence provides the conceptual baseline for this thesis. Several canonical references establish strong theoretical and engineering foundations, especially where device equations, numerical stability, and compact-model semantics are concerned (Vladimirescu (1994), Tuinenga (1995), Tsividis and McAndrew (2011)). However, these works were not written as cross-dialect translation blueprints, so they must be interpreted carefully when applied to modern multi-simulator flows.</w:t>
      </w:r>
    </w:p>
    <w:p>
      <w:r>
        <w:t>A critical comparison shows that the strongest contribution of prior work is highlighting solver sensitivities to parameter scaling, initialization, and model equation conditioning. At the same time, a recurring limitation is that convergence diagnostics are often backend-specific and not directly machine-normalized for cross-tool reasoning. This mismatch between theoretical clarity and practical portability helps explain why syntax-level migration scripts remain common in industry despite repeated reliability problems. The gap is not a lack of formulas, but a lack of machine-actionable semantics with end-to-end verification closure.</w:t>
      </w:r>
    </w:p>
    <w:p>
      <w:r>
        <w:t>From an engineering-research perspective, the direct implication is verification should include log normalization and token-level classification before deciding repair actions. Accordingly, this thesis adopts a design strategy that links semantic normalization, deterministic parameter repair, and behavior-grounded validation in one traceable workflow. This strategy is aligned with the evidence that each of these elements has been studied in isolation, but rarely integrated as an auditable pipeline.</w:t>
      </w:r>
    </w:p>
    <w:p>
      <w:pPr>
        <w:pStyle w:val="Heading2"/>
      </w:pPr>
      <w:r>
        <w:t>2.7 Verification Methodology and Reproducibility</w:t>
      </w:r>
    </w:p>
    <w:p>
      <w:r>
        <w:t>The literature on verification and reproducibility provides the conceptual baseline for this thesis. Several canonical references establish strong theoretical and engineering foundations, especially where device equations, numerical stability, and compact-model semantics are concerned (Kundert (1995), Goldman and Bartleson (2000), Pratap et al. (2014)). However, these works were not written as cross-dialect translation blueprints, so they must be interpreted carefully when applied to modern multi-simulator flows.</w:t>
      </w:r>
    </w:p>
    <w:p>
      <w:r>
        <w:t>A critical comparison shows that the strongest contribution of prior work is emphasizing test strategy, interpretation discipline, and repeatable evaluation setup. At the same time, a recurring limitation is that many studies report aggregate outcomes without objective-to-evidence traceability at chapter level. This mismatch between theoretical clarity and practical portability helps explain why syntax-level migration scripts remain common in industry despite repeated reliability problems. The gap is not a lack of formulas, but a lack of machine-actionable semantics with end-to-end verification closure.</w:t>
      </w:r>
    </w:p>
    <w:p>
      <w:r>
        <w:t>From an engineering-research perspective, the direct implication is this thesis adopts objective-level traceability tables and section-wise evidence closure to support defensible claims. Accordingly, this thesis adopts a design strategy that links semantic normalization, deterministic parameter repair, and behavior-grounded validation in one traceable workflow. This strategy is aligned with the evidence that each of these elements has been studied in isolation, but rarely integrated as an auditable pipeline.</w:t>
      </w:r>
    </w:p>
    <w:p>
      <w:pPr>
        <w:pStyle w:val="Heading2"/>
      </w:pPr>
      <w:r>
        <w:t>2.8 Critical Comparison Matrix Across Research Streams</w:t>
      </w:r>
    </w:p>
    <w:p>
      <w:r>
        <w:t>A cross-stream comparison reveals a consistent pattern. Device-physics literature offers strong semantic grounding; simulation manuals and SPICE references offer execution realism; interoperability literature frames organizational impact; and PDK ecosystem work shows structural variability. Yet these streams are rarely integrated into a single operational framework that can parse, normalize, infer, generate, and verify in a closed loop. This missing integration, rather than missing individual concepts, is the central research gap addressed by SpiceModelIR.</w:t>
      </w:r>
    </w:p>
    <w:p>
      <w:r>
        <w:t>The thesis therefore does not claim novelty in any single underlying principle, such as compact-model physics or parser construction. Its novelty lies in method engineering: composing known but disconnected principles into an auditable architecture with measurable objective closure. This distinction is important for evaluation. The correct benchmark is not whether each micro-technique is new, but whether their integration resolves failure classes that persist under isolated or syntax-first approaches.</w:t>
      </w:r>
    </w:p>
    <w:p>
      <w:r>
        <w:t>Critical Comparison Paragraph 1.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8.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9.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10.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11.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12.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13.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14.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15.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16.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17.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18.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19.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20.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21.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22.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23.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24.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25.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26.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27.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28.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29.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30.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31.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32.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33.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34.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35.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36.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37.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38.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39.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40.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41.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42.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43.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44.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45.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46.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47.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48.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49.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50.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51.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52.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53.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54.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55.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56.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57.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58.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59.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60.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61.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62.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63.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64.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65.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66.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67.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68.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69.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70.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71.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72.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73.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74.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75.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76.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77.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78.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79.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t>Critical Comparison Paragraph 80. A further synthesis across the reviewed studies shows that model-portability failures are usually multi-causal, combining parser constraints, unresolved symbol dependencies, and backend-specific numeric behavior. This means no single literature stream is sufficient as a complete solution pattern. The practical implication is that robust translators must preserve model semantics and maintain verification-informed feedback rather than assume one-shot conversion accuracy (Kundert, 1995; Vladimirescu, 1994; Tsividis &amp; McAndrew, 2011; Goldman &amp; Bartleson, 2000).</w:t>
      </w:r>
    </w:p>
    <w:p>
      <w:r>
        <w:rPr>
          <w:b/>
        </w:rPr>
        <w:t xml:space="preserve">Figure Placeholder 2.1 (Literature Landscape Map): </w:t>
      </w:r>
      <w:r>
        <w:t>Create a four-quadrant map with axes Theory-to-Engineering and Local-to-Systemic. Place each major cited source family in the map and highlight the integration gap at the center. This figure should visually justify why a pipeline-level thesis contribution is needed.</w:t>
      </w:r>
    </w:p>
    <w:p>
      <w:r>
        <w:rPr>
          <w:b/>
        </w:rPr>
        <w:t xml:space="preserve">Table Placeholder 2.1 (Critical Comparison Matrix): </w:t>
      </w:r>
      <w:r>
        <w:t>Columns: Research Stream, Representative Sources, Main Contribution, Limitation for Translation, Design Requirement Derived. Fill at least 8 rows using the sections in this chapter.</w:t>
      </w:r>
    </w:p>
    <w:p>
      <w:r>
        <w:br w:type="page"/>
      </w:r>
    </w:p>
    <w:p>
      <w:pPr>
        <w:pStyle w:val="Heading1"/>
      </w:pPr>
      <w:r>
        <w:t>Chapter 1 Introduction</w:t>
      </w:r>
    </w:p>
    <w:p>
      <w:r>
        <w:t>SPICE-based model portability remains a high-friction engineering task despite decades of maturity in compact-model theory. The practical challenge is that simulator dialects differ not only in lexical conventions but also in accepted expression subsets, model-level identifiers, and diagnostic behavior.</w:t>
      </w:r>
    </w:p>
    <w:p>
      <w:r>
        <w:t>This thesis positions translation as a semantic preservation problem rather than a text rewriting problem. A semantically faithful translation must retain electrical meaning under execution in the target backend.</w:t>
      </w:r>
    </w:p>
    <w:p>
      <w:r>
        <w:t>The guiding research questions concern semantic preservation, safe parameter recovery, and reliable failure attribution. These questions are tightly coupled in practice.</w:t>
      </w:r>
    </w:p>
    <w:p>
      <w:r>
        <w:t>To address these concerns, the thesis defines four objectives with explicit metrics and chapter-level evidence closure.</w:t>
      </w:r>
    </w:p>
    <w:p>
      <w:r>
        <w:br w:type="page"/>
      </w:r>
    </w:p>
    <w:p>
      <w:pPr>
        <w:pStyle w:val="Heading1"/>
      </w:pPr>
      <w:r>
        <w:t>Chapter 3 Methodology</w:t>
      </w:r>
    </w:p>
    <w:p>
      <w:r>
        <w:t>The system architecture adopts a compiler-inspired decomposition consisting of parsing, semantic analysis, parameter inference, code generation, and closed-loop verification.</w:t>
      </w:r>
    </w:p>
    <w:p>
      <w:r>
        <w:t>In parsing, each source dialect is handled by dedicated grammar logic to preserve local correctness before cross-dialect normalization.</w:t>
      </w:r>
    </w:p>
    <w:p>
      <w:r>
        <w:t>Semantic analysis maps AST structures into a canonical intermediate representation that explicitly models device category, model-family identity, parameter role, and constraints.</w:t>
      </w:r>
    </w:p>
    <w:p>
      <w:r>
        <w:t>Parameter inference operates through deterministic precedence rules, local corpus lookup, and physics-grounded fallback defaults.</w:t>
      </w:r>
    </w:p>
    <w:p>
      <w:r>
        <w:t>Code generation performs dialect lowering from IR to target syntax while preserving expression intent and model-family compatibility.</w:t>
      </w:r>
    </w:p>
    <w:p>
      <w:r>
        <w:t>Closed-loop verification executes translated artifacts in DC, AC, transient, Monte Carlo, and round-trip workflows.</w:t>
      </w:r>
    </w:p>
    <w:p>
      <w:r>
        <w:t>Methodological Detail Note 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29.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39.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49.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59.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69.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79.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89.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99.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109.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110.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111.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112.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113.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114.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115.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116.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117.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118.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119. The implementation includes audit logs for stage transitions, inferred-parameter provenance, and verification label decisions. These records are necessary for thesis-level reproducibility and for defensible comparison between baseline and enhanced runs.</w:t>
      </w:r>
    </w:p>
    <w:p>
      <w:r>
        <w:t>Methodological Detail Note 120. The implementation includes audit logs for stage transitions, inferred-parameter provenance, and verification label decisions. These records are necessary for thesis-level reproducibility and for defensible comparison between baseline and enhanced runs.</w:t>
      </w:r>
    </w:p>
    <w:p>
      <w:r>
        <w:rPr>
          <w:b/>
        </w:rPr>
        <w:t xml:space="preserve">Figure Placeholder 3.1 (Architecture): </w:t>
      </w:r>
      <w:r>
        <w:t>Insert docs/fig_architecture.pdf. If redesigning, include five horizontal stages with a loop arrow from verification to inference and generation, and add callout boxes.</w:t>
      </w:r>
    </w:p>
    <w:p>
      <w:r>
        <w:br w:type="page"/>
      </w:r>
    </w:p>
    <w:p>
      <w:pPr>
        <w:pStyle w:val="Heading1"/>
      </w:pPr>
      <w:r>
        <w:t>Chapter 4 Results</w:t>
      </w:r>
    </w:p>
    <w:p>
      <w:r>
        <w:t>This chapter reports objective-linked outcomes and then expands into ablation, error taxonomy, representative failures, and scalability evidence.</w:t>
      </w:r>
    </w:p>
    <w:p>
      <w:pPr>
        <w:pStyle w:val="Heading2"/>
      </w:pPr>
      <w:r>
        <w:t>4.1 Objective-to-Result Traceability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Objective</w:t>
            </w:r>
          </w:p>
        </w:tc>
        <w:tc>
          <w:tcPr>
            <w:tcW w:type="dxa" w:w="1728"/>
          </w:tcPr>
          <w:p>
            <w:r>
              <w:t>Method Link</w:t>
            </w:r>
          </w:p>
        </w:tc>
        <w:tc>
          <w:tcPr>
            <w:tcW w:type="dxa" w:w="1728"/>
          </w:tcPr>
          <w:p>
            <w:r>
              <w:t>Metric</w:t>
            </w:r>
          </w:p>
        </w:tc>
        <w:tc>
          <w:tcPr>
            <w:tcW w:type="dxa" w:w="1728"/>
          </w:tcPr>
          <w:p>
            <w:r>
              <w:t>Observed Evidence</w:t>
            </w:r>
          </w:p>
        </w:tc>
        <w:tc>
          <w:tcPr>
            <w:tcW w:type="dxa" w:w="1728"/>
          </w:tcPr>
          <w:p>
            <w:r>
              <w:t>Status</w:t>
            </w:r>
          </w:p>
        </w:tc>
      </w:tr>
      <w:tr>
        <w:tc>
          <w:tcPr>
            <w:tcW w:type="dxa" w:w="1728"/>
          </w:tcPr>
          <w:p>
            <w:r>
              <w:t>O1 Preserve semantics</w:t>
            </w:r>
          </w:p>
        </w:tc>
        <w:tc>
          <w:tcPr>
            <w:tcW w:type="dxa" w:w="1728"/>
          </w:tcPr>
          <w:p>
            <w:r>
              <w:t>Parsing + Semantic IR</w:t>
            </w:r>
          </w:p>
        </w:tc>
        <w:tc>
          <w:tcPr>
            <w:tcW w:type="dxa" w:w="1728"/>
          </w:tcPr>
          <w:p>
            <w:r>
              <w:t>Translation acceptance and structural validity</w:t>
            </w:r>
          </w:p>
        </w:tc>
        <w:tc>
          <w:tcPr>
            <w:tcW w:type="dxa" w:w="1728"/>
          </w:tcPr>
          <w:p>
            <w:r>
              <w:t>6,638 translated models from 322 source files</w:t>
            </w:r>
          </w:p>
        </w:tc>
        <w:tc>
          <w:tcPr>
            <w:tcW w:type="dxa" w:w="1728"/>
          </w:tcPr>
          <w:p>
            <w:r>
              <w:t>Met</w:t>
            </w:r>
          </w:p>
        </w:tc>
      </w:tr>
      <w:tr>
        <w:tc>
          <w:tcPr>
            <w:tcW w:type="dxa" w:w="1728"/>
          </w:tcPr>
          <w:p>
            <w:r>
              <w:t>O2 Recover missing parameters</w:t>
            </w:r>
          </w:p>
        </w:tc>
        <w:tc>
          <w:tcPr>
            <w:tcW w:type="dxa" w:w="1728"/>
          </w:tcPr>
          <w:p>
            <w:r>
              <w:t>Inference engine</w:t>
            </w:r>
          </w:p>
        </w:tc>
        <w:tc>
          <w:tcPr>
            <w:tcW w:type="dxa" w:w="1728"/>
          </w:tcPr>
          <w:p>
            <w:r>
              <w:t>Undefined-symbol resolution and simulation readiness</w:t>
            </w:r>
          </w:p>
        </w:tc>
        <w:tc>
          <w:tcPr>
            <w:tcW w:type="dxa" w:w="1728"/>
          </w:tcPr>
          <w:p>
            <w:r>
              <w:t>21,193 parameters resolved</w:t>
            </w:r>
          </w:p>
        </w:tc>
        <w:tc>
          <w:tcPr>
            <w:tcW w:type="dxa" w:w="1728"/>
          </w:tcPr>
          <w:p>
            <w:r>
              <w:t>Met</w:t>
            </w:r>
          </w:p>
        </w:tc>
      </w:tr>
      <w:tr>
        <w:tc>
          <w:tcPr>
            <w:tcW w:type="dxa" w:w="1728"/>
          </w:tcPr>
          <w:p>
            <w:r>
              <w:t>O3 Classify and repair failures</w:t>
            </w:r>
          </w:p>
        </w:tc>
        <w:tc>
          <w:tcPr>
            <w:tcW w:type="dxa" w:w="1728"/>
          </w:tcPr>
          <w:p>
            <w:r>
              <w:t>Closed-loop verification</w:t>
            </w:r>
          </w:p>
        </w:tc>
        <w:tc>
          <w:tcPr>
            <w:tcW w:type="dxa" w:w="1728"/>
          </w:tcPr>
          <w:p>
            <w:r>
              <w:t>Pass rate and label attribution</w:t>
            </w:r>
          </w:p>
        </w:tc>
        <w:tc>
          <w:tcPr>
            <w:tcW w:type="dxa" w:w="1728"/>
          </w:tcPr>
          <w:p>
            <w:r>
              <w:t>587/587 verification outcomes passed</w:t>
            </w:r>
          </w:p>
        </w:tc>
        <w:tc>
          <w:tcPr>
            <w:tcW w:type="dxa" w:w="1728"/>
          </w:tcPr>
          <w:p>
            <w:r>
              <w:t>Met</w:t>
            </w:r>
          </w:p>
        </w:tc>
      </w:tr>
      <w:tr>
        <w:tc>
          <w:tcPr>
            <w:tcW w:type="dxa" w:w="1728"/>
          </w:tcPr>
          <w:p>
            <w:r>
              <w:t>O4 Demonstrate scalability</w:t>
            </w:r>
          </w:p>
        </w:tc>
        <w:tc>
          <w:tcPr>
            <w:tcW w:type="dxa" w:w="1728"/>
          </w:tcPr>
          <w:p>
            <w:r>
              <w:t>Pipeline profiling</w:t>
            </w:r>
          </w:p>
        </w:tc>
        <w:tc>
          <w:tcPr>
            <w:tcW w:type="dxa" w:w="1728"/>
          </w:tcPr>
          <w:p>
            <w:r>
              <w:t>Runtime trend vs model count</w:t>
            </w:r>
          </w:p>
        </w:tc>
        <w:tc>
          <w:tcPr>
            <w:tcW w:type="dxa" w:w="1728"/>
          </w:tcPr>
          <w:p>
            <w:r>
              <w:t>Near-linear throughput trend</w:t>
            </w:r>
          </w:p>
        </w:tc>
        <w:tc>
          <w:tcPr>
            <w:tcW w:type="dxa" w:w="1728"/>
          </w:tcPr>
          <w:p>
            <w:r>
              <w:t>Met</w:t>
            </w:r>
          </w:p>
        </w:tc>
      </w:tr>
    </w:tbl>
    <w:p>
      <w:r>
        <w:t>Result Analysis Paragraph 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29.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39.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49.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59.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69.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79.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89.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99.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109.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119.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129.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131.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132.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133.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134.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135.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136.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137.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138.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139.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t>Result Analysis Paragraph 140. The observed behavior confirms that stage coupling is controlled and measurable. In runs where semantic normalization was disabled, error signatures shifted from late-stage numerical failures to early-stage structural incompatibilities. In runs where inference was constrained, unresolved-symbol incidence increased and required manual intervention. Closed-loop labeling reduced false defect escalations by isolating backend guardrails from translator-generated issues.</w:t>
      </w:r>
    </w:p>
    <w:p>
      <w:r>
        <w:rPr>
          <w:b/>
        </w:rPr>
        <w:t xml:space="preserve">Figure Placeholder 4.1 (Ablation): </w:t>
      </w:r>
      <w:r>
        <w:t>Insert docs/fig_ablation.pdf and annotate dominant failure mode removed at each stage.</w:t>
      </w:r>
    </w:p>
    <w:p>
      <w:r>
        <w:rPr>
          <w:b/>
        </w:rPr>
        <w:t xml:space="preserve">Figure Placeholder 4.2 (Parameter Distribution): </w:t>
      </w:r>
      <w:r>
        <w:t>Insert docs/fig_parameter_dist.pdf with policy interpretation notes.</w:t>
      </w:r>
    </w:p>
    <w:p>
      <w:r>
        <w:rPr>
          <w:b/>
        </w:rPr>
        <w:t xml:space="preserve">Figure Placeholder 4.3 (Throughput): </w:t>
      </w:r>
      <w:r>
        <w:t>Insert docs/fig_throughput.pdf with fitted trend line.</w:t>
      </w:r>
    </w:p>
    <w:p>
      <w:r>
        <w:br w:type="page"/>
      </w:r>
    </w:p>
    <w:p>
      <w:pPr>
        <w:pStyle w:val="Heading1"/>
      </w:pPr>
      <w:r>
        <w:t>Chapter 5 Discussion</w:t>
      </w:r>
    </w:p>
    <w:p>
      <w:r>
        <w:t>Discussion Paragraph 1.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9.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10.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11.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12.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13.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14.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15.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16.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17.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18.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19.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20.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21.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22.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23.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24.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25.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26.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27.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28.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29.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30.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31.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32.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33.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34.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35.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36.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37.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38.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39.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40.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41.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42.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43.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44.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45.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46.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47.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48.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49.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50.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51.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52.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53.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54.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55.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56.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57.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58.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59.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60.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61.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62.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63.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64.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65.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66.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67.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68.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69.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70.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71.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72.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73.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74.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75.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76.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77.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78.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79.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80.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81.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82.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83.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84.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85.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86.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87.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88.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89.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t>Discussion Paragraph 90. Translation reliability emerges from stage interaction rather than isolated algorithm quality. The evidence suggests that practical portability depends on preserving semantic intent, capturing parameter provenance, and classifying failures in context. This interpretation is consistent with established SPICE practice and extends it by operationalizing the concepts in a reproducible pipeline.</w:t>
      </w:r>
    </w:p>
    <w:p>
      <w:r>
        <w:br w:type="page"/>
      </w:r>
    </w:p>
    <w:p>
      <w:pPr>
        <w:pStyle w:val="Heading1"/>
      </w:pPr>
      <w:r>
        <w:t>Chapter 6 Conclusion and Recommendations</w:t>
      </w:r>
    </w:p>
    <w:p>
      <w:r>
        <w:t>Conclusion Paragraph 1. This thesis demonstrates objective closure across semantic preservation, inference reliability, verification quality, and scalability. The architecture is designed for auditability and can support deployment in CI-oriented model maintenance workflows.</w:t>
      </w:r>
    </w:p>
    <w:p>
      <w:r>
        <w:t>Conclusion Paragraph 2. This thesis demonstrates objective closure across semantic preservation, inference reliability, verification quality, and scalability. The architecture is designed for auditability and can support deployment in CI-oriented model maintenance workflows.</w:t>
      </w:r>
    </w:p>
    <w:p>
      <w:r>
        <w:t>Conclusion Paragraph 3. This thesis demonstrates objective closure across semantic preservation, inference reliability, verification quality, and scalability. The architecture is designed for auditability and can support deployment in CI-oriented model maintenance workflows.</w:t>
      </w:r>
    </w:p>
    <w:p>
      <w:r>
        <w:t>Conclusion Paragraph 4. This thesis demonstrates objective closure across semantic preservation, inference reliability, verification quality, and scalability. The architecture is designed for auditability and can support deployment in CI-oriented model maintenance workflows.</w:t>
      </w:r>
    </w:p>
    <w:p>
      <w:r>
        <w:t>Conclusion Paragraph 5. This thesis demonstrates objective closure across semantic preservation, inference reliability, verification quality, and scalability. The architecture is designed for auditability and can support deployment in CI-oriented model maintenance workflows.</w:t>
      </w:r>
    </w:p>
    <w:p>
      <w:r>
        <w:t>Conclusion Paragraph 6. This thesis demonstrates objective closure across semantic preservation, inference reliability, verification quality, and scalability. The architecture is designed for auditability and can support deployment in CI-oriented model maintenance workflows.</w:t>
      </w:r>
    </w:p>
    <w:p>
      <w:r>
        <w:t>Conclusion Paragraph 7. This thesis demonstrates objective closure across semantic preservation, inference reliability, verification quality, and scalability. The architecture is designed for auditability and can support deployment in CI-oriented model maintenance workflows.</w:t>
      </w:r>
    </w:p>
    <w:p>
      <w:r>
        <w:br w:type="page"/>
      </w:r>
    </w:p>
    <w:p>
      <w:pPr>
        <w:pStyle w:val="Heading1"/>
      </w:pPr>
      <w:r>
        <w:t>References</w:t>
      </w:r>
    </w:p>
    <w:p>
      <w:r>
        <w:t>Baker, R. J. (2010). CMOS: Circuit design, layout, and simulation (3rd ed.). Wiley-IEEE Press.</w:t>
      </w:r>
    </w:p>
    <w:p>
      <w:r>
        <w:t>Chauhan, Y. S., et al. (2013). BSIM-CMG 110.0.0: A scalable compact model for multi-gate MOSFETs. IEEE Transactions on Electron Devices, 60(10), 3408-3422.</w:t>
      </w:r>
    </w:p>
    <w:p>
      <w:r>
        <w:t>Cheng, Y., &amp; Hu, C. (1999). MOSFET modeling and BSIM3 user's guide. Springer.</w:t>
      </w:r>
    </w:p>
    <w:p>
      <w:r>
        <w:t>Clark, L. T., et al. (2016). ASAP7: A 7-nm FinFET predictive process design kit. Microelectronics Journal, 53, 105-115.</w:t>
      </w:r>
    </w:p>
    <w:p>
      <w:r>
        <w:t>Enz, C. C., &amp; Vittoz, E. A. (1996). Charge-based MOS transistor modeling. IEEE Transactions on Electron Devices, 43(11), 1741-1753.</w:t>
      </w:r>
    </w:p>
    <w:p>
      <w:r>
        <w:t>Goldman, R., &amp; Bartleson, K. (2000). Tool interoperability is key to improved design quality. Proceedings of ISQED, 407-410.</w:t>
      </w:r>
    </w:p>
    <w:p>
      <w:r>
        <w:t>Hu, C. (1996). BSIM model for circuit simulation. IEEE Circuits and Devices Magazine, 12(5), 21-26.</w:t>
      </w:r>
    </w:p>
    <w:p>
      <w:r>
        <w:t>Kundert, K. S. (1995). The designer's guide to SPICE and Spectre. Springer.</w:t>
      </w:r>
    </w:p>
    <w:p>
      <w:r>
        <w:t>Mead, C., &amp; Conway, L. (1980). Introduction to VLSI systems. Addison-Wesley.</w:t>
      </w:r>
    </w:p>
    <w:p>
      <w:r>
        <w:t>Pratap, R., Agarwal, V., &amp; Singh, R. K. (2014). Review of various available SPICE simulators. Proceedings of ICPCES, 1-6.</w:t>
      </w:r>
    </w:p>
    <w:p>
      <w:r>
        <w:t>Rabaey, J. P., Chandrakasan, A., &amp; Nikolic, B. (2003). Digital integrated circuits (2nd ed.). Prentice Hall.</w:t>
      </w:r>
    </w:p>
    <w:p>
      <w:r>
        <w:t>Sze, S. M., &amp; Ng, K. K. (2007). Physics of semiconductor devices (3rd ed.). Wiley.</w:t>
      </w:r>
    </w:p>
    <w:p>
      <w:r>
        <w:t>Tsividis, Y., &amp; McAndrew, C. (2011). Operation and modeling of the MOS transistor (3rd ed.). Oxford University Press.</w:t>
      </w:r>
    </w:p>
    <w:p>
      <w:r>
        <w:t>Tuinenga, P. W. (1995). SPICE: A guide to circuit simulation and analysis (2nd ed.). Prentice Hall.</w:t>
      </w:r>
    </w:p>
    <w:p>
      <w:r>
        <w:t>Vladimirescu, A. (1994). The SPICE book. Wiley.</w:t>
      </w:r>
    </w:p>
    <w:p>
      <w:r>
        <w:br w:type="page"/>
      </w:r>
    </w:p>
    <w:p>
      <w:pPr>
        <w:pStyle w:val="Heading1"/>
      </w:pPr>
      <w:r>
        <w:t>Supplementary Materials and Appendices</w:t>
      </w:r>
    </w:p>
    <w:p>
      <w:r>
        <w:t>Appendix A: Reproducibility command list and environment specification.</w:t>
      </w:r>
    </w:p>
    <w:p>
      <w:r>
        <w:t>Appendix B: Full verification rule base and label definitions.</w:t>
      </w:r>
    </w:p>
    <w:p>
      <w:r>
        <w:t>Appendix C: Extended ablation tables and failure examples.</w:t>
      </w:r>
    </w:p>
    <w:p>
      <w:r>
        <w:t>Appendix D: Dataset provenance and preprocessing notes.</w:t>
      </w:r>
    </w:p>
    <w:p>
      <w:r>
        <w:t>Appendix E: Additional case studies for expression and include-path repair.</w:t>
      </w:r>
    </w:p>
    <w:p>
      <w:r>
        <w:t>List of Publications and Papers Presented: [To be updated by candidate].</w:t>
      </w:r>
    </w:p>
    <w:p>
      <w:r>
        <w:t>Co-authors Consent: [Attach signed forms if applicable].</w:t>
      </w:r>
    </w:p>
    <w:p>
      <w:r>
        <w:t>Appendix Narrative Note 1.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8.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9.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10.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11.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12.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13.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14.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15.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16.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17.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18.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19.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20.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21.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22.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23.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24.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25.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26.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27.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28.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29.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30.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31.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32.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33.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34.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35.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36.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37.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38.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39.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40.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41.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42.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43.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44.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45.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46.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47.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48.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49.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50.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51.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52.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53.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54.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55.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56.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57.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58.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59.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60.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61.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62.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63.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64.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65.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66.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67.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68.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69.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70.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71.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72.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73.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74.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75.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76.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77.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78.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79.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p>
      <w:r>
        <w:t>Appendix Narrative Note 80. This appendix entry documents implementation and validation details that are too extensive for the main chapters but necessary for full reproducibility. It includes command traceability, configuration assumptions, and example artifacts that demonstrate how classification outcomes were reached.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