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38DB" w14:textId="77777777" w:rsidR="005068D4" w:rsidRDefault="003D64B3">
      <w:pPr>
        <w:spacing w:after="40"/>
        <w:jc w:val="center"/>
      </w:pPr>
      <w:r>
        <w:rPr>
          <w:b/>
          <w:bCs/>
          <w:color w:val="1F3864"/>
          <w:sz w:val="40"/>
          <w:szCs w:val="40"/>
        </w:rPr>
        <w:t>Credibility Scoring for Sources</w:t>
      </w:r>
    </w:p>
    <w:p w14:paraId="59F7F9A8" w14:textId="77777777" w:rsidR="005068D4" w:rsidRDefault="003D64B3">
      <w:pPr>
        <w:spacing w:after="200"/>
        <w:jc w:val="center"/>
      </w:pPr>
      <w:r>
        <w:rPr>
          <w:i/>
          <w:iCs/>
          <w:color w:val="595959"/>
          <w:sz w:val="24"/>
          <w:szCs w:val="24"/>
        </w:rPr>
        <w:t>A Technique Report on Iteratively Improving score_url()</w:t>
      </w:r>
    </w:p>
    <w:p w14:paraId="1931828B" w14:textId="77777777" w:rsidR="005068D4" w:rsidRDefault="003D64B3">
      <w:pPr>
        <w:spacing w:after="40"/>
        <w:jc w:val="center"/>
      </w:pPr>
      <w:r>
        <w:rPr>
          <w:b/>
          <w:bCs/>
          <w:sz w:val="22"/>
          <w:szCs w:val="22"/>
        </w:rPr>
        <w:t>Langston K. Williams</w:t>
      </w:r>
    </w:p>
    <w:p w14:paraId="1B69C02D" w14:textId="77777777" w:rsidR="005068D4" w:rsidRDefault="003D64B3">
      <w:pPr>
        <w:spacing w:after="40"/>
        <w:jc w:val="center"/>
      </w:pPr>
      <w:r>
        <w:rPr>
          <w:color w:val="595959"/>
          <w:sz w:val="20"/>
          <w:szCs w:val="20"/>
        </w:rPr>
        <w:t>CS676 — Algorithms for Data Science, Project 1: Deliverable 2</w:t>
      </w:r>
    </w:p>
    <w:p w14:paraId="42FE423C" w14:textId="77777777" w:rsidR="005068D4" w:rsidRDefault="003D64B3">
      <w:pPr>
        <w:spacing w:after="400"/>
        <w:jc w:val="center"/>
      </w:pPr>
      <w:r>
        <w:rPr>
          <w:color w:val="595959"/>
          <w:sz w:val="20"/>
          <w:szCs w:val="20"/>
        </w:rPr>
        <w:t>Pace University · Seidenberg School of Computer Science and Information Systems · September 21, 2026</w:t>
      </w:r>
    </w:p>
    <w:p w14:paraId="2F3FC101" w14:textId="77777777" w:rsidR="005068D4" w:rsidRDefault="005068D4">
      <w:pPr>
        <w:pBdr>
          <w:bottom w:val="single" w:sz="8" w:space="1" w:color="1F3864"/>
        </w:pBdr>
        <w:spacing w:after="300"/>
      </w:pPr>
    </w:p>
    <w:p w14:paraId="3BDC0899" w14:textId="77777777" w:rsidR="005068D4" w:rsidRDefault="003D64B3">
      <w:pPr>
        <w:pStyle w:val="Heading1"/>
      </w:pPr>
      <w:r>
        <w:t>1. Introduction</w:t>
      </w:r>
    </w:p>
    <w:p w14:paraId="0342A922" w14:textId="77777777" w:rsidR="005068D4" w:rsidRDefault="003D64B3">
      <w:pPr>
        <w:spacing w:after="140"/>
      </w:pPr>
      <w:r>
        <w:t>Project 1 asks for improvements to score_url(), a function that assigns every URL a credibility score in [0, 1] and a human-readable explanation. The starter implementation is deliberately mediocre: a short hand-written domain table, a handful of string-matching rules, and an optional large-language-model opinion, blended with a constant that was never tested against data. The README documents twelve specific, named weaknesses in that baseline and invites the student to fix as many as can be defended in a r</w:t>
      </w:r>
      <w:r>
        <w:t>eport, while leaving the function's contract untouched: score_url(url) must always return a dictionary with exactly the keys score (a float in [0, 1]) and explanation (a string), because the evaluation harness, the test suite, and the Streamlit app all depend on that exact shape.</w:t>
      </w:r>
    </w:p>
    <w:p w14:paraId="2F5F1EC5" w14:textId="77777777" w:rsidR="005068D4" w:rsidRDefault="003D64B3">
      <w:pPr>
        <w:spacing w:after="140"/>
      </w:pPr>
      <w:r>
        <w:t xml:space="preserve">This report documents a four-stage revision of credibility.py that addresses eight of the twelve named weaknesses (numbers 1, 2, 3, 4, 6, 7, 8, and 9), explains the design rationale and the literature behind each stage, and reports the measured effect of each change honestly — including two findings that did not go the way a first read of the assignment would predict: expanding the domain lookup table explains most of Stage 1's apparent gain on the "held out" evaluation block, and calibrating the score for </w:t>
      </w:r>
      <w:r>
        <w:t>a binary credible/not-credible question measurably hurts its accuracy against the continuous labels evaluate.py actually grades on. Both are reported here rather than hidden, in keeping with the project's own instruction that an honest account of what still fails is worth real credit.</w:t>
      </w:r>
    </w:p>
    <w:p w14:paraId="6F2C45DB" w14:textId="77777777" w:rsidR="005068D4" w:rsidRDefault="003D64B3">
      <w:pPr>
        <w:pStyle w:val="Heading1"/>
      </w:pPr>
      <w:r>
        <w:t>2. The Baseline and Its Twelve Named Weaknesses</w:t>
      </w:r>
    </w:p>
    <w:p w14:paraId="1080CEAF" w14:textId="77777777" w:rsidR="005068D4" w:rsidRDefault="003D64B3">
      <w:pPr>
        <w:spacing w:after="140"/>
      </w:pPr>
      <w:r>
        <w:t>The starter score_url() blends two layers: Layer 1 is pure string inspection of the URL (a domain table, a top-level-domain table, and a list of path substrings that trigger penalties), and Layer 2 is a single call to a Claude model, blended with Layer 1 at a fixed 0.6/0.4 split. The README lists twelve concrete defects in this design. Table 1 reproduces them and states which stage of this revision, if any, addresses each 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4523"/>
        <w:gridCol w:w="1615"/>
        <w:gridCol w:w="3339"/>
      </w:tblGrid>
      <w:tr w:rsidR="005068D4" w14:paraId="2A54C3D9" w14:textId="77777777">
        <w:tblPrEx>
          <w:tblCellMar>
            <w:top w:w="0" w:type="dxa"/>
            <w:bottom w:w="0" w:type="dxa"/>
          </w:tblCellMar>
        </w:tblPrEx>
        <w:trPr>
          <w:tblHeader/>
        </w:trPr>
        <w:tc>
          <w:tcPr>
            <w:tcW w:w="603" w:type="dxa"/>
            <w:shd w:val="clear" w:color="auto" w:fill="1F3864"/>
            <w:tcMar>
              <w:top w:w="60" w:type="dxa"/>
              <w:left w:w="100" w:type="dxa"/>
              <w:bottom w:w="60" w:type="dxa"/>
              <w:right w:w="100" w:type="dxa"/>
            </w:tcMar>
            <w:vAlign w:val="center"/>
          </w:tcPr>
          <w:p w14:paraId="3885C73F" w14:textId="77777777" w:rsidR="005068D4" w:rsidRDefault="003D64B3">
            <w:pPr>
              <w:jc w:val="center"/>
            </w:pPr>
            <w:r>
              <w:rPr>
                <w:b/>
                <w:bCs/>
                <w:color w:val="FFFFFF"/>
                <w:sz w:val="19"/>
                <w:szCs w:val="19"/>
              </w:rPr>
              <w:t>#</w:t>
            </w:r>
          </w:p>
        </w:tc>
        <w:tc>
          <w:tcPr>
            <w:tcW w:w="4523" w:type="dxa"/>
            <w:shd w:val="clear" w:color="auto" w:fill="1F3864"/>
            <w:tcMar>
              <w:top w:w="60" w:type="dxa"/>
              <w:left w:w="100" w:type="dxa"/>
              <w:bottom w:w="60" w:type="dxa"/>
              <w:right w:w="100" w:type="dxa"/>
            </w:tcMar>
            <w:vAlign w:val="center"/>
          </w:tcPr>
          <w:p w14:paraId="7F399426" w14:textId="77777777" w:rsidR="005068D4" w:rsidRDefault="003D64B3">
            <w:pPr>
              <w:jc w:val="center"/>
            </w:pPr>
            <w:r>
              <w:rPr>
                <w:b/>
                <w:bCs/>
                <w:color w:val="FFFFFF"/>
                <w:sz w:val="19"/>
                <w:szCs w:val="19"/>
              </w:rPr>
              <w:t>Weakness (as named in the README)</w:t>
            </w:r>
          </w:p>
        </w:tc>
        <w:tc>
          <w:tcPr>
            <w:tcW w:w="1615" w:type="dxa"/>
            <w:shd w:val="clear" w:color="auto" w:fill="1F3864"/>
            <w:tcMar>
              <w:top w:w="60" w:type="dxa"/>
              <w:left w:w="100" w:type="dxa"/>
              <w:bottom w:w="60" w:type="dxa"/>
              <w:right w:w="100" w:type="dxa"/>
            </w:tcMar>
            <w:vAlign w:val="center"/>
          </w:tcPr>
          <w:p w14:paraId="5EF574F5" w14:textId="77777777" w:rsidR="005068D4" w:rsidRDefault="003D64B3">
            <w:pPr>
              <w:jc w:val="center"/>
            </w:pPr>
            <w:r>
              <w:rPr>
                <w:b/>
                <w:bCs/>
                <w:color w:val="FFFFFF"/>
                <w:sz w:val="19"/>
                <w:szCs w:val="19"/>
              </w:rPr>
              <w:t>Status</w:t>
            </w:r>
          </w:p>
        </w:tc>
        <w:tc>
          <w:tcPr>
            <w:tcW w:w="3339" w:type="dxa"/>
            <w:shd w:val="clear" w:color="auto" w:fill="1F3864"/>
            <w:tcMar>
              <w:top w:w="60" w:type="dxa"/>
              <w:left w:w="100" w:type="dxa"/>
              <w:bottom w:w="60" w:type="dxa"/>
              <w:right w:w="100" w:type="dxa"/>
            </w:tcMar>
            <w:vAlign w:val="center"/>
          </w:tcPr>
          <w:p w14:paraId="0994BE4A" w14:textId="77777777" w:rsidR="005068D4" w:rsidRDefault="003D64B3">
            <w:pPr>
              <w:jc w:val="center"/>
            </w:pPr>
            <w:r>
              <w:rPr>
                <w:b/>
                <w:bCs/>
                <w:color w:val="FFFFFF"/>
                <w:sz w:val="19"/>
                <w:szCs w:val="19"/>
              </w:rPr>
              <w:t>Addressed by</w:t>
            </w:r>
          </w:p>
        </w:tc>
      </w:tr>
      <w:tr w:rsidR="005068D4" w14:paraId="16B6D045"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10EA20B2" w14:textId="77777777" w:rsidR="005068D4" w:rsidRDefault="003D64B3">
            <w:pPr>
              <w:jc w:val="center"/>
            </w:pPr>
            <w:r>
              <w:rPr>
                <w:sz w:val="19"/>
                <w:szCs w:val="19"/>
              </w:rPr>
              <w:t>1</w:t>
            </w:r>
          </w:p>
        </w:tc>
        <w:tc>
          <w:tcPr>
            <w:tcW w:w="4523" w:type="dxa"/>
            <w:shd w:val="clear" w:color="auto" w:fill="FFFFFF"/>
            <w:tcMar>
              <w:top w:w="60" w:type="dxa"/>
              <w:left w:w="100" w:type="dxa"/>
              <w:bottom w:w="60" w:type="dxa"/>
              <w:right w:w="100" w:type="dxa"/>
            </w:tcMar>
            <w:vAlign w:val="center"/>
          </w:tcPr>
          <w:p w14:paraId="00F4FD5F" w14:textId="77777777" w:rsidR="005068D4" w:rsidRDefault="003D64B3">
            <w:r>
              <w:rPr>
                <w:sz w:val="19"/>
                <w:szCs w:val="19"/>
              </w:rPr>
              <w:t>Never reads the page — Layer 1 is pure string inspection and cannot distinguish a rigorous article from a hoax on the same domain.</w:t>
            </w:r>
          </w:p>
        </w:tc>
        <w:tc>
          <w:tcPr>
            <w:tcW w:w="1615" w:type="dxa"/>
            <w:shd w:val="clear" w:color="auto" w:fill="FFFFFF"/>
            <w:tcMar>
              <w:top w:w="60" w:type="dxa"/>
              <w:left w:w="100" w:type="dxa"/>
              <w:bottom w:w="60" w:type="dxa"/>
              <w:right w:w="100" w:type="dxa"/>
            </w:tcMar>
            <w:vAlign w:val="center"/>
          </w:tcPr>
          <w:p w14:paraId="51A8DB89" w14:textId="77777777" w:rsidR="005068D4" w:rsidRDefault="003D64B3">
            <w:pPr>
              <w:jc w:val="center"/>
            </w:pPr>
            <w:r>
              <w:rPr>
                <w:sz w:val="19"/>
                <w:szCs w:val="19"/>
              </w:rPr>
              <w:t>Fixed</w:t>
            </w:r>
          </w:p>
        </w:tc>
        <w:tc>
          <w:tcPr>
            <w:tcW w:w="3339" w:type="dxa"/>
            <w:shd w:val="clear" w:color="auto" w:fill="FFFFFF"/>
            <w:tcMar>
              <w:top w:w="60" w:type="dxa"/>
              <w:left w:w="100" w:type="dxa"/>
              <w:bottom w:w="60" w:type="dxa"/>
              <w:right w:w="100" w:type="dxa"/>
            </w:tcMar>
            <w:vAlign w:val="center"/>
          </w:tcPr>
          <w:p w14:paraId="55FAEF2F" w14:textId="77777777" w:rsidR="005068D4" w:rsidRDefault="003D64B3">
            <w:r>
              <w:rPr>
                <w:sz w:val="19"/>
                <w:szCs w:val="19"/>
              </w:rPr>
              <w:t>Stage 1 — page_content_signals()</w:t>
            </w:r>
          </w:p>
        </w:tc>
      </w:tr>
      <w:tr w:rsidR="005068D4" w14:paraId="44FFD503"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7E6093A5" w14:textId="77777777" w:rsidR="005068D4" w:rsidRDefault="003D64B3">
            <w:pPr>
              <w:jc w:val="center"/>
            </w:pPr>
            <w:r>
              <w:rPr>
                <w:sz w:val="19"/>
                <w:szCs w:val="19"/>
              </w:rPr>
              <w:t>2</w:t>
            </w:r>
          </w:p>
        </w:tc>
        <w:tc>
          <w:tcPr>
            <w:tcW w:w="4523" w:type="dxa"/>
            <w:shd w:val="clear" w:color="auto" w:fill="F2F2F2"/>
            <w:tcMar>
              <w:top w:w="60" w:type="dxa"/>
              <w:left w:w="100" w:type="dxa"/>
              <w:bottom w:w="60" w:type="dxa"/>
              <w:right w:w="100" w:type="dxa"/>
            </w:tcMar>
            <w:vAlign w:val="center"/>
          </w:tcPr>
          <w:p w14:paraId="5A0D2411" w14:textId="77777777" w:rsidR="005068D4" w:rsidRDefault="003D64B3">
            <w:r>
              <w:rPr>
                <w:sz w:val="19"/>
                <w:szCs w:val="19"/>
              </w:rPr>
              <w:t>Domain table is an unsourced, hand-written guess (~30 domains).</w:t>
            </w:r>
          </w:p>
        </w:tc>
        <w:tc>
          <w:tcPr>
            <w:tcW w:w="1615" w:type="dxa"/>
            <w:shd w:val="clear" w:color="auto" w:fill="F2F2F2"/>
            <w:tcMar>
              <w:top w:w="60" w:type="dxa"/>
              <w:left w:w="100" w:type="dxa"/>
              <w:bottom w:w="60" w:type="dxa"/>
              <w:right w:w="100" w:type="dxa"/>
            </w:tcMar>
            <w:vAlign w:val="center"/>
          </w:tcPr>
          <w:p w14:paraId="452D7538" w14:textId="77777777" w:rsidR="005068D4" w:rsidRDefault="003D64B3">
            <w:pPr>
              <w:jc w:val="center"/>
            </w:pPr>
            <w:r>
              <w:rPr>
                <w:sz w:val="19"/>
                <w:szCs w:val="19"/>
              </w:rPr>
              <w:t>Partially fixed*</w:t>
            </w:r>
          </w:p>
        </w:tc>
        <w:tc>
          <w:tcPr>
            <w:tcW w:w="3339" w:type="dxa"/>
            <w:shd w:val="clear" w:color="auto" w:fill="F2F2F2"/>
            <w:tcMar>
              <w:top w:w="60" w:type="dxa"/>
              <w:left w:w="100" w:type="dxa"/>
              <w:bottom w:w="60" w:type="dxa"/>
              <w:right w:w="100" w:type="dxa"/>
            </w:tcMar>
            <w:vAlign w:val="center"/>
          </w:tcPr>
          <w:p w14:paraId="7BF6C566" w14:textId="77777777" w:rsidR="005068D4" w:rsidRDefault="003D64B3">
            <w:r>
              <w:rPr>
                <w:sz w:val="19"/>
                <w:szCs w:val="19"/>
              </w:rPr>
              <w:t>Stage 1 — DOMAIN_SCORES re-annotated against WP:RSP</w:t>
            </w:r>
          </w:p>
        </w:tc>
      </w:tr>
      <w:tr w:rsidR="005068D4" w14:paraId="78080805"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259BB0C7" w14:textId="77777777" w:rsidR="005068D4" w:rsidRDefault="003D64B3">
            <w:pPr>
              <w:jc w:val="center"/>
            </w:pPr>
            <w:r>
              <w:rPr>
                <w:sz w:val="19"/>
                <w:szCs w:val="19"/>
              </w:rPr>
              <w:t>3</w:t>
            </w:r>
          </w:p>
        </w:tc>
        <w:tc>
          <w:tcPr>
            <w:tcW w:w="4523" w:type="dxa"/>
            <w:shd w:val="clear" w:color="auto" w:fill="FFFFFF"/>
            <w:tcMar>
              <w:top w:w="60" w:type="dxa"/>
              <w:left w:w="100" w:type="dxa"/>
              <w:bottom w:w="60" w:type="dxa"/>
              <w:right w:w="100" w:type="dxa"/>
            </w:tcMar>
            <w:vAlign w:val="center"/>
          </w:tcPr>
          <w:p w14:paraId="60D99037" w14:textId="77777777" w:rsidR="005068D4" w:rsidRDefault="003D64B3">
            <w:r>
              <w:rPr>
                <w:sz w:val="19"/>
                <w:szCs w:val="19"/>
              </w:rPr>
              <w:t>Cannot tell a preprint from a peer-reviewed paper (arxiv.org scored 0.75 for every paper on it).</w:t>
            </w:r>
          </w:p>
        </w:tc>
        <w:tc>
          <w:tcPr>
            <w:tcW w:w="1615" w:type="dxa"/>
            <w:shd w:val="clear" w:color="auto" w:fill="FFFFFF"/>
            <w:tcMar>
              <w:top w:w="60" w:type="dxa"/>
              <w:left w:w="100" w:type="dxa"/>
              <w:bottom w:w="60" w:type="dxa"/>
              <w:right w:w="100" w:type="dxa"/>
            </w:tcMar>
            <w:vAlign w:val="center"/>
          </w:tcPr>
          <w:p w14:paraId="157E8A97" w14:textId="77777777" w:rsidR="005068D4" w:rsidRDefault="003D64B3">
            <w:pPr>
              <w:jc w:val="center"/>
            </w:pPr>
            <w:r>
              <w:rPr>
                <w:sz w:val="19"/>
                <w:szCs w:val="19"/>
              </w:rPr>
              <w:t>Fixed</w:t>
            </w:r>
          </w:p>
        </w:tc>
        <w:tc>
          <w:tcPr>
            <w:tcW w:w="3339" w:type="dxa"/>
            <w:shd w:val="clear" w:color="auto" w:fill="FFFFFF"/>
            <w:tcMar>
              <w:top w:w="60" w:type="dxa"/>
              <w:left w:w="100" w:type="dxa"/>
              <w:bottom w:w="60" w:type="dxa"/>
              <w:right w:w="100" w:type="dxa"/>
            </w:tcMar>
            <w:vAlign w:val="center"/>
          </w:tcPr>
          <w:p w14:paraId="329778F4" w14:textId="77777777" w:rsidR="005068D4" w:rsidRDefault="003D64B3">
            <w:r>
              <w:rPr>
                <w:sz w:val="19"/>
                <w:szCs w:val="19"/>
              </w:rPr>
              <w:t>Stage 1 — scholarly_signals() via OpenAlex type</w:t>
            </w:r>
          </w:p>
        </w:tc>
      </w:tr>
      <w:tr w:rsidR="005068D4" w14:paraId="36C1EBF4"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6728B0C9" w14:textId="77777777" w:rsidR="005068D4" w:rsidRDefault="003D64B3">
            <w:pPr>
              <w:jc w:val="center"/>
            </w:pPr>
            <w:r>
              <w:rPr>
                <w:sz w:val="19"/>
                <w:szCs w:val="19"/>
              </w:rPr>
              <w:t>4</w:t>
            </w:r>
          </w:p>
        </w:tc>
        <w:tc>
          <w:tcPr>
            <w:tcW w:w="4523" w:type="dxa"/>
            <w:shd w:val="clear" w:color="auto" w:fill="F2F2F2"/>
            <w:tcMar>
              <w:top w:w="60" w:type="dxa"/>
              <w:left w:w="100" w:type="dxa"/>
              <w:bottom w:w="60" w:type="dxa"/>
              <w:right w:w="100" w:type="dxa"/>
            </w:tcMar>
            <w:vAlign w:val="center"/>
          </w:tcPr>
          <w:p w14:paraId="1F12EA5C" w14:textId="77777777" w:rsidR="005068D4" w:rsidRDefault="003D64B3">
            <w:r>
              <w:rPr>
                <w:sz w:val="19"/>
                <w:szCs w:val="19"/>
              </w:rPr>
              <w:t>Never heard of retraction — a retracted paper scores as high as a replicated one.</w:t>
            </w:r>
          </w:p>
        </w:tc>
        <w:tc>
          <w:tcPr>
            <w:tcW w:w="1615" w:type="dxa"/>
            <w:shd w:val="clear" w:color="auto" w:fill="F2F2F2"/>
            <w:tcMar>
              <w:top w:w="60" w:type="dxa"/>
              <w:left w:w="100" w:type="dxa"/>
              <w:bottom w:w="60" w:type="dxa"/>
              <w:right w:w="100" w:type="dxa"/>
            </w:tcMar>
            <w:vAlign w:val="center"/>
          </w:tcPr>
          <w:p w14:paraId="33B58F02" w14:textId="77777777" w:rsidR="005068D4" w:rsidRDefault="003D64B3">
            <w:pPr>
              <w:jc w:val="center"/>
            </w:pPr>
            <w:r>
              <w:rPr>
                <w:sz w:val="19"/>
                <w:szCs w:val="19"/>
              </w:rPr>
              <w:t>Fixed</w:t>
            </w:r>
          </w:p>
        </w:tc>
        <w:tc>
          <w:tcPr>
            <w:tcW w:w="3339" w:type="dxa"/>
            <w:shd w:val="clear" w:color="auto" w:fill="F2F2F2"/>
            <w:tcMar>
              <w:top w:w="60" w:type="dxa"/>
              <w:left w:w="100" w:type="dxa"/>
              <w:bottom w:w="60" w:type="dxa"/>
              <w:right w:w="100" w:type="dxa"/>
            </w:tcMar>
            <w:vAlign w:val="center"/>
          </w:tcPr>
          <w:p w14:paraId="573C136C" w14:textId="77777777" w:rsidR="005068D4" w:rsidRDefault="003D64B3">
            <w:r>
              <w:rPr>
                <w:sz w:val="19"/>
                <w:szCs w:val="19"/>
              </w:rPr>
              <w:t>Stage 1 — OpenAlex is_retracted check</w:t>
            </w:r>
          </w:p>
        </w:tc>
      </w:tr>
      <w:tr w:rsidR="005068D4" w14:paraId="6D26CABD"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4885C1B0" w14:textId="77777777" w:rsidR="005068D4" w:rsidRDefault="003D64B3">
            <w:pPr>
              <w:jc w:val="center"/>
            </w:pPr>
            <w:r>
              <w:rPr>
                <w:sz w:val="19"/>
                <w:szCs w:val="19"/>
              </w:rPr>
              <w:t>5</w:t>
            </w:r>
          </w:p>
        </w:tc>
        <w:tc>
          <w:tcPr>
            <w:tcW w:w="4523" w:type="dxa"/>
            <w:shd w:val="clear" w:color="auto" w:fill="FFFFFF"/>
            <w:tcMar>
              <w:top w:w="60" w:type="dxa"/>
              <w:left w:w="100" w:type="dxa"/>
              <w:bottom w:w="60" w:type="dxa"/>
              <w:right w:w="100" w:type="dxa"/>
            </w:tcMar>
            <w:vAlign w:val="center"/>
          </w:tcPr>
          <w:p w14:paraId="4E6452CE" w14:textId="77777777" w:rsidR="005068D4" w:rsidRDefault="003D64B3">
            <w:r>
              <w:rPr>
                <w:sz w:val="19"/>
                <w:szCs w:val="19"/>
              </w:rPr>
              <w:t>Any .edu domain scores highly, including a personal homepage.</w:t>
            </w:r>
          </w:p>
        </w:tc>
        <w:tc>
          <w:tcPr>
            <w:tcW w:w="1615" w:type="dxa"/>
            <w:shd w:val="clear" w:color="auto" w:fill="FFFFFF"/>
            <w:tcMar>
              <w:top w:w="60" w:type="dxa"/>
              <w:left w:w="100" w:type="dxa"/>
              <w:bottom w:w="60" w:type="dxa"/>
              <w:right w:w="100" w:type="dxa"/>
            </w:tcMar>
            <w:vAlign w:val="center"/>
          </w:tcPr>
          <w:p w14:paraId="79C988D1" w14:textId="77777777" w:rsidR="005068D4" w:rsidRDefault="003D64B3">
            <w:pPr>
              <w:jc w:val="center"/>
            </w:pPr>
            <w:r>
              <w:rPr>
                <w:sz w:val="19"/>
                <w:szCs w:val="19"/>
              </w:rPr>
              <w:t>Open</w:t>
            </w:r>
          </w:p>
        </w:tc>
        <w:tc>
          <w:tcPr>
            <w:tcW w:w="3339" w:type="dxa"/>
            <w:shd w:val="clear" w:color="auto" w:fill="FFFFFF"/>
            <w:tcMar>
              <w:top w:w="60" w:type="dxa"/>
              <w:left w:w="100" w:type="dxa"/>
              <w:bottom w:w="60" w:type="dxa"/>
              <w:right w:w="100" w:type="dxa"/>
            </w:tcMar>
            <w:vAlign w:val="center"/>
          </w:tcPr>
          <w:p w14:paraId="4392ADEA" w14:textId="77777777" w:rsidR="005068D4" w:rsidRDefault="003D64B3">
            <w:r>
              <w:rPr>
                <w:sz w:val="19"/>
                <w:szCs w:val="19"/>
              </w:rPr>
              <w:t>Not addressed</w:t>
            </w:r>
          </w:p>
        </w:tc>
      </w:tr>
      <w:tr w:rsidR="005068D4" w14:paraId="23E94CB3"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043CA19C" w14:textId="77777777" w:rsidR="005068D4" w:rsidRDefault="003D64B3">
            <w:pPr>
              <w:jc w:val="center"/>
            </w:pPr>
            <w:r>
              <w:rPr>
                <w:sz w:val="19"/>
                <w:szCs w:val="19"/>
              </w:rPr>
              <w:t>6</w:t>
            </w:r>
          </w:p>
        </w:tc>
        <w:tc>
          <w:tcPr>
            <w:tcW w:w="4523" w:type="dxa"/>
            <w:shd w:val="clear" w:color="auto" w:fill="F2F2F2"/>
            <w:tcMar>
              <w:top w:w="60" w:type="dxa"/>
              <w:left w:w="100" w:type="dxa"/>
              <w:bottom w:w="60" w:type="dxa"/>
              <w:right w:w="100" w:type="dxa"/>
            </w:tcMar>
            <w:vAlign w:val="center"/>
          </w:tcPr>
          <w:p w14:paraId="25109558" w14:textId="77777777" w:rsidR="005068D4" w:rsidRDefault="003D64B3">
            <w:r>
              <w:rPr>
                <w:sz w:val="19"/>
                <w:szCs w:val="19"/>
              </w:rPr>
              <w:t>Aggregation is hand-picked arithmetic, not fitted to data.</w:t>
            </w:r>
          </w:p>
        </w:tc>
        <w:tc>
          <w:tcPr>
            <w:tcW w:w="1615" w:type="dxa"/>
            <w:shd w:val="clear" w:color="auto" w:fill="F2F2F2"/>
            <w:tcMar>
              <w:top w:w="60" w:type="dxa"/>
              <w:left w:w="100" w:type="dxa"/>
              <w:bottom w:w="60" w:type="dxa"/>
              <w:right w:w="100" w:type="dxa"/>
            </w:tcMar>
            <w:vAlign w:val="center"/>
          </w:tcPr>
          <w:p w14:paraId="083E293D" w14:textId="77777777" w:rsidR="005068D4" w:rsidRDefault="003D64B3">
            <w:pPr>
              <w:jc w:val="center"/>
            </w:pPr>
            <w:r>
              <w:rPr>
                <w:sz w:val="19"/>
                <w:szCs w:val="19"/>
              </w:rPr>
              <w:t>Fixed</w:t>
            </w:r>
          </w:p>
        </w:tc>
        <w:tc>
          <w:tcPr>
            <w:tcW w:w="3339" w:type="dxa"/>
            <w:shd w:val="clear" w:color="auto" w:fill="F2F2F2"/>
            <w:tcMar>
              <w:top w:w="60" w:type="dxa"/>
              <w:left w:w="100" w:type="dxa"/>
              <w:bottom w:w="60" w:type="dxa"/>
              <w:right w:w="100" w:type="dxa"/>
            </w:tcMar>
            <w:vAlign w:val="center"/>
          </w:tcPr>
          <w:p w14:paraId="53C0BB96" w14:textId="77777777" w:rsidR="005068D4" w:rsidRDefault="003D64B3">
            <w:r>
              <w:rPr>
                <w:sz w:val="19"/>
                <w:szCs w:val="19"/>
              </w:rPr>
              <w:t>Stage 2 — Lasso-learned weights</w:t>
            </w:r>
          </w:p>
        </w:tc>
      </w:tr>
      <w:tr w:rsidR="005068D4" w14:paraId="1C7941E0"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48303563" w14:textId="77777777" w:rsidR="005068D4" w:rsidRDefault="003D64B3">
            <w:pPr>
              <w:jc w:val="center"/>
            </w:pPr>
            <w:r>
              <w:rPr>
                <w:sz w:val="19"/>
                <w:szCs w:val="19"/>
              </w:rPr>
              <w:lastRenderedPageBreak/>
              <w:t>7</w:t>
            </w:r>
          </w:p>
        </w:tc>
        <w:tc>
          <w:tcPr>
            <w:tcW w:w="4523" w:type="dxa"/>
            <w:shd w:val="clear" w:color="auto" w:fill="FFFFFF"/>
            <w:tcMar>
              <w:top w:w="60" w:type="dxa"/>
              <w:left w:w="100" w:type="dxa"/>
              <w:bottom w:w="60" w:type="dxa"/>
              <w:right w:w="100" w:type="dxa"/>
            </w:tcMar>
            <w:vAlign w:val="center"/>
          </w:tcPr>
          <w:p w14:paraId="7C7CDFF1" w14:textId="77777777" w:rsidR="005068D4" w:rsidRDefault="003D64B3">
            <w:r>
              <w:rPr>
                <w:sz w:val="19"/>
                <w:szCs w:val="19"/>
              </w:rPr>
              <w:t>Score is not calibrated (0.7 does not mean "right 70% of the time").</w:t>
            </w:r>
          </w:p>
        </w:tc>
        <w:tc>
          <w:tcPr>
            <w:tcW w:w="1615" w:type="dxa"/>
            <w:shd w:val="clear" w:color="auto" w:fill="FFFFFF"/>
            <w:tcMar>
              <w:top w:w="60" w:type="dxa"/>
              <w:left w:w="100" w:type="dxa"/>
              <w:bottom w:w="60" w:type="dxa"/>
              <w:right w:w="100" w:type="dxa"/>
            </w:tcMar>
            <w:vAlign w:val="center"/>
          </w:tcPr>
          <w:p w14:paraId="5DA81D9B" w14:textId="77777777" w:rsidR="005068D4" w:rsidRDefault="003D64B3">
            <w:pPr>
              <w:jc w:val="center"/>
            </w:pPr>
            <w:r>
              <w:rPr>
                <w:sz w:val="19"/>
                <w:szCs w:val="19"/>
              </w:rPr>
              <w:t>Measured &amp; fixed (optional)</w:t>
            </w:r>
          </w:p>
        </w:tc>
        <w:tc>
          <w:tcPr>
            <w:tcW w:w="3339" w:type="dxa"/>
            <w:shd w:val="clear" w:color="auto" w:fill="FFFFFF"/>
            <w:tcMar>
              <w:top w:w="60" w:type="dxa"/>
              <w:left w:w="100" w:type="dxa"/>
              <w:bottom w:w="60" w:type="dxa"/>
              <w:right w:w="100" w:type="dxa"/>
            </w:tcMar>
            <w:vAlign w:val="center"/>
          </w:tcPr>
          <w:p w14:paraId="1584A34B" w14:textId="77777777" w:rsidR="005068D4" w:rsidRDefault="003D64B3">
            <w:r>
              <w:rPr>
                <w:sz w:val="19"/>
                <w:szCs w:val="19"/>
              </w:rPr>
              <w:t>Stage 3 — Platt scaling + Brier/ECE</w:t>
            </w:r>
          </w:p>
        </w:tc>
      </w:tr>
      <w:tr w:rsidR="005068D4" w14:paraId="3B65A18E"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72E0E8BE" w14:textId="77777777" w:rsidR="005068D4" w:rsidRDefault="003D64B3">
            <w:pPr>
              <w:jc w:val="center"/>
            </w:pPr>
            <w:r>
              <w:rPr>
                <w:sz w:val="19"/>
                <w:szCs w:val="19"/>
              </w:rPr>
              <w:t>8</w:t>
            </w:r>
          </w:p>
        </w:tc>
        <w:tc>
          <w:tcPr>
            <w:tcW w:w="4523" w:type="dxa"/>
            <w:shd w:val="clear" w:color="auto" w:fill="F2F2F2"/>
            <w:tcMar>
              <w:top w:w="60" w:type="dxa"/>
              <w:left w:w="100" w:type="dxa"/>
              <w:bottom w:w="60" w:type="dxa"/>
              <w:right w:w="100" w:type="dxa"/>
            </w:tcMar>
            <w:vAlign w:val="center"/>
          </w:tcPr>
          <w:p w14:paraId="394DADF8" w14:textId="77777777" w:rsidR="005068D4" w:rsidRDefault="003D64B3">
            <w:r>
              <w:rPr>
                <w:sz w:val="19"/>
                <w:szCs w:val="19"/>
              </w:rPr>
              <w:t>No uncertainty — a bare point estimate regardless of familiarity.</w:t>
            </w:r>
          </w:p>
        </w:tc>
        <w:tc>
          <w:tcPr>
            <w:tcW w:w="1615" w:type="dxa"/>
            <w:shd w:val="clear" w:color="auto" w:fill="F2F2F2"/>
            <w:tcMar>
              <w:top w:w="60" w:type="dxa"/>
              <w:left w:w="100" w:type="dxa"/>
              <w:bottom w:w="60" w:type="dxa"/>
              <w:right w:w="100" w:type="dxa"/>
            </w:tcMar>
            <w:vAlign w:val="center"/>
          </w:tcPr>
          <w:p w14:paraId="7417E120" w14:textId="77777777" w:rsidR="005068D4" w:rsidRDefault="003D64B3">
            <w:pPr>
              <w:jc w:val="center"/>
            </w:pPr>
            <w:r>
              <w:rPr>
                <w:sz w:val="19"/>
                <w:szCs w:val="19"/>
              </w:rPr>
              <w:t>Fixed</w:t>
            </w:r>
          </w:p>
        </w:tc>
        <w:tc>
          <w:tcPr>
            <w:tcW w:w="3339" w:type="dxa"/>
            <w:shd w:val="clear" w:color="auto" w:fill="F2F2F2"/>
            <w:tcMar>
              <w:top w:w="60" w:type="dxa"/>
              <w:left w:w="100" w:type="dxa"/>
              <w:bottom w:w="60" w:type="dxa"/>
              <w:right w:w="100" w:type="dxa"/>
            </w:tcMar>
            <w:vAlign w:val="center"/>
          </w:tcPr>
          <w:p w14:paraId="53248741" w14:textId="77777777" w:rsidR="005068D4" w:rsidRDefault="003D64B3">
            <w:r>
              <w:rPr>
                <w:sz w:val="19"/>
                <w:szCs w:val="19"/>
              </w:rPr>
              <w:t>Stage 4 — bootstrap confidence intervals</w:t>
            </w:r>
          </w:p>
        </w:tc>
      </w:tr>
      <w:tr w:rsidR="005068D4" w14:paraId="77CD6784"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44F38F5D" w14:textId="77777777" w:rsidR="005068D4" w:rsidRDefault="003D64B3">
            <w:pPr>
              <w:jc w:val="center"/>
            </w:pPr>
            <w:r>
              <w:rPr>
                <w:sz w:val="19"/>
                <w:szCs w:val="19"/>
              </w:rPr>
              <w:t>9</w:t>
            </w:r>
          </w:p>
        </w:tc>
        <w:tc>
          <w:tcPr>
            <w:tcW w:w="4523" w:type="dxa"/>
            <w:shd w:val="clear" w:color="auto" w:fill="FFFFFF"/>
            <w:tcMar>
              <w:top w:w="60" w:type="dxa"/>
              <w:left w:w="100" w:type="dxa"/>
              <w:bottom w:w="60" w:type="dxa"/>
              <w:right w:w="100" w:type="dxa"/>
            </w:tcMar>
            <w:vAlign w:val="center"/>
          </w:tcPr>
          <w:p w14:paraId="4ECFC743" w14:textId="77777777" w:rsidR="005068D4" w:rsidRDefault="003D64B3">
            <w:r>
              <w:rPr>
                <w:sz w:val="19"/>
                <w:szCs w:val="19"/>
              </w:rPr>
              <w:t>The two layers are blended with an untested constant (0.6/0.4).</w:t>
            </w:r>
          </w:p>
        </w:tc>
        <w:tc>
          <w:tcPr>
            <w:tcW w:w="1615" w:type="dxa"/>
            <w:shd w:val="clear" w:color="auto" w:fill="FFFFFF"/>
            <w:tcMar>
              <w:top w:w="60" w:type="dxa"/>
              <w:left w:w="100" w:type="dxa"/>
              <w:bottom w:w="60" w:type="dxa"/>
              <w:right w:w="100" w:type="dxa"/>
            </w:tcMar>
            <w:vAlign w:val="center"/>
          </w:tcPr>
          <w:p w14:paraId="141C4570" w14:textId="77777777" w:rsidR="005068D4" w:rsidRDefault="003D64B3">
            <w:pPr>
              <w:jc w:val="center"/>
            </w:pPr>
            <w:r>
              <w:rPr>
                <w:sz w:val="19"/>
                <w:szCs w:val="19"/>
              </w:rPr>
              <w:t>Fixed</w:t>
            </w:r>
          </w:p>
        </w:tc>
        <w:tc>
          <w:tcPr>
            <w:tcW w:w="3339" w:type="dxa"/>
            <w:shd w:val="clear" w:color="auto" w:fill="FFFFFF"/>
            <w:tcMar>
              <w:top w:w="60" w:type="dxa"/>
              <w:left w:w="100" w:type="dxa"/>
              <w:bottom w:w="60" w:type="dxa"/>
              <w:right w:w="100" w:type="dxa"/>
            </w:tcMar>
            <w:vAlign w:val="center"/>
          </w:tcPr>
          <w:p w14:paraId="1BA082FA" w14:textId="77777777" w:rsidR="005068D4" w:rsidRDefault="003D64B3">
            <w:r>
              <w:rPr>
                <w:sz w:val="19"/>
                <w:szCs w:val="19"/>
              </w:rPr>
              <w:t>Stage 2 — LLM opinion becomes a learned feature</w:t>
            </w:r>
          </w:p>
        </w:tc>
      </w:tr>
      <w:tr w:rsidR="005068D4" w14:paraId="404B2C9E"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1E0923B9" w14:textId="77777777" w:rsidR="005068D4" w:rsidRDefault="003D64B3">
            <w:pPr>
              <w:jc w:val="center"/>
            </w:pPr>
            <w:r>
              <w:rPr>
                <w:sz w:val="19"/>
                <w:szCs w:val="19"/>
              </w:rPr>
              <w:t>10</w:t>
            </w:r>
          </w:p>
        </w:tc>
        <w:tc>
          <w:tcPr>
            <w:tcW w:w="4523" w:type="dxa"/>
            <w:shd w:val="clear" w:color="auto" w:fill="F2F2F2"/>
            <w:tcMar>
              <w:top w:w="60" w:type="dxa"/>
              <w:left w:w="100" w:type="dxa"/>
              <w:bottom w:w="60" w:type="dxa"/>
              <w:right w:w="100" w:type="dxa"/>
            </w:tcMar>
            <w:vAlign w:val="center"/>
          </w:tcPr>
          <w:p w14:paraId="5FAC31EB" w14:textId="77777777" w:rsidR="005068D4" w:rsidRDefault="003D64B3">
            <w:r>
              <w:rPr>
                <w:sz w:val="19"/>
                <w:szCs w:val="19"/>
              </w:rPr>
              <w:t>Explanation is a list of rule fragments joined by semicolons, not a reason.</w:t>
            </w:r>
          </w:p>
        </w:tc>
        <w:tc>
          <w:tcPr>
            <w:tcW w:w="1615" w:type="dxa"/>
            <w:shd w:val="clear" w:color="auto" w:fill="F2F2F2"/>
            <w:tcMar>
              <w:top w:w="60" w:type="dxa"/>
              <w:left w:w="100" w:type="dxa"/>
              <w:bottom w:w="60" w:type="dxa"/>
              <w:right w:w="100" w:type="dxa"/>
            </w:tcMar>
            <w:vAlign w:val="center"/>
          </w:tcPr>
          <w:p w14:paraId="6C03E9AC" w14:textId="77777777" w:rsidR="005068D4" w:rsidRDefault="003D64B3">
            <w:pPr>
              <w:jc w:val="center"/>
            </w:pPr>
            <w:r>
              <w:rPr>
                <w:sz w:val="19"/>
                <w:szCs w:val="19"/>
              </w:rPr>
              <w:t>Open</w:t>
            </w:r>
          </w:p>
        </w:tc>
        <w:tc>
          <w:tcPr>
            <w:tcW w:w="3339" w:type="dxa"/>
            <w:shd w:val="clear" w:color="auto" w:fill="F2F2F2"/>
            <w:tcMar>
              <w:top w:w="60" w:type="dxa"/>
              <w:left w:w="100" w:type="dxa"/>
              <w:bottom w:w="60" w:type="dxa"/>
              <w:right w:w="100" w:type="dxa"/>
            </w:tcMar>
            <w:vAlign w:val="center"/>
          </w:tcPr>
          <w:p w14:paraId="6D285B80" w14:textId="77777777" w:rsidR="005068D4" w:rsidRDefault="003D64B3">
            <w:r>
              <w:rPr>
                <w:sz w:val="19"/>
                <w:szCs w:val="19"/>
              </w:rPr>
              <w:t>Not addressed</w:t>
            </w:r>
          </w:p>
        </w:tc>
      </w:tr>
      <w:tr w:rsidR="005068D4" w14:paraId="54398558" w14:textId="77777777">
        <w:tblPrEx>
          <w:tblCellMar>
            <w:top w:w="0" w:type="dxa"/>
            <w:bottom w:w="0" w:type="dxa"/>
          </w:tblCellMar>
        </w:tblPrEx>
        <w:tc>
          <w:tcPr>
            <w:tcW w:w="603" w:type="dxa"/>
            <w:shd w:val="clear" w:color="auto" w:fill="FFFFFF"/>
            <w:tcMar>
              <w:top w:w="60" w:type="dxa"/>
              <w:left w:w="100" w:type="dxa"/>
              <w:bottom w:w="60" w:type="dxa"/>
              <w:right w:w="100" w:type="dxa"/>
            </w:tcMar>
            <w:vAlign w:val="center"/>
          </w:tcPr>
          <w:p w14:paraId="1EFB91A0" w14:textId="77777777" w:rsidR="005068D4" w:rsidRDefault="003D64B3">
            <w:pPr>
              <w:jc w:val="center"/>
            </w:pPr>
            <w:r>
              <w:rPr>
                <w:sz w:val="19"/>
                <w:szCs w:val="19"/>
              </w:rPr>
              <w:t>11</w:t>
            </w:r>
          </w:p>
        </w:tc>
        <w:tc>
          <w:tcPr>
            <w:tcW w:w="4523" w:type="dxa"/>
            <w:shd w:val="clear" w:color="auto" w:fill="FFFFFF"/>
            <w:tcMar>
              <w:top w:w="60" w:type="dxa"/>
              <w:left w:w="100" w:type="dxa"/>
              <w:bottom w:w="60" w:type="dxa"/>
              <w:right w:w="100" w:type="dxa"/>
            </w:tcMar>
            <w:vAlign w:val="center"/>
          </w:tcPr>
          <w:p w14:paraId="340E7401" w14:textId="77777777" w:rsidR="005068D4" w:rsidRDefault="003D64B3">
            <w:r>
              <w:rPr>
                <w:sz w:val="19"/>
                <w:szCs w:val="19"/>
              </w:rPr>
              <w:t>Subdomains inherit the parent domain's reputation in full.</w:t>
            </w:r>
          </w:p>
        </w:tc>
        <w:tc>
          <w:tcPr>
            <w:tcW w:w="1615" w:type="dxa"/>
            <w:shd w:val="clear" w:color="auto" w:fill="FFFFFF"/>
            <w:tcMar>
              <w:top w:w="60" w:type="dxa"/>
              <w:left w:w="100" w:type="dxa"/>
              <w:bottom w:w="60" w:type="dxa"/>
              <w:right w:w="100" w:type="dxa"/>
            </w:tcMar>
            <w:vAlign w:val="center"/>
          </w:tcPr>
          <w:p w14:paraId="29850BC7" w14:textId="77777777" w:rsidR="005068D4" w:rsidRDefault="003D64B3">
            <w:pPr>
              <w:jc w:val="center"/>
            </w:pPr>
            <w:r>
              <w:rPr>
                <w:sz w:val="19"/>
                <w:szCs w:val="19"/>
              </w:rPr>
              <w:t>Open</w:t>
            </w:r>
          </w:p>
        </w:tc>
        <w:tc>
          <w:tcPr>
            <w:tcW w:w="3339" w:type="dxa"/>
            <w:shd w:val="clear" w:color="auto" w:fill="FFFFFF"/>
            <w:tcMar>
              <w:top w:w="60" w:type="dxa"/>
              <w:left w:w="100" w:type="dxa"/>
              <w:bottom w:w="60" w:type="dxa"/>
              <w:right w:w="100" w:type="dxa"/>
            </w:tcMar>
            <w:vAlign w:val="center"/>
          </w:tcPr>
          <w:p w14:paraId="70219AB8" w14:textId="77777777" w:rsidR="005068D4" w:rsidRDefault="003D64B3">
            <w:r>
              <w:rPr>
                <w:sz w:val="19"/>
                <w:szCs w:val="19"/>
              </w:rPr>
              <w:t>Not addressed</w:t>
            </w:r>
          </w:p>
        </w:tc>
      </w:tr>
      <w:tr w:rsidR="005068D4" w14:paraId="36B2D41C" w14:textId="77777777">
        <w:tblPrEx>
          <w:tblCellMar>
            <w:top w:w="0" w:type="dxa"/>
            <w:bottom w:w="0" w:type="dxa"/>
          </w:tblCellMar>
        </w:tblPrEx>
        <w:tc>
          <w:tcPr>
            <w:tcW w:w="603" w:type="dxa"/>
            <w:shd w:val="clear" w:color="auto" w:fill="F2F2F2"/>
            <w:tcMar>
              <w:top w:w="60" w:type="dxa"/>
              <w:left w:w="100" w:type="dxa"/>
              <w:bottom w:w="60" w:type="dxa"/>
              <w:right w:w="100" w:type="dxa"/>
            </w:tcMar>
            <w:vAlign w:val="center"/>
          </w:tcPr>
          <w:p w14:paraId="3DBD6E97" w14:textId="77777777" w:rsidR="005068D4" w:rsidRDefault="003D64B3">
            <w:pPr>
              <w:jc w:val="center"/>
            </w:pPr>
            <w:r>
              <w:rPr>
                <w:sz w:val="19"/>
                <w:szCs w:val="19"/>
              </w:rPr>
              <w:t>12</w:t>
            </w:r>
          </w:p>
        </w:tc>
        <w:tc>
          <w:tcPr>
            <w:tcW w:w="4523" w:type="dxa"/>
            <w:shd w:val="clear" w:color="auto" w:fill="F2F2F2"/>
            <w:tcMar>
              <w:top w:w="60" w:type="dxa"/>
              <w:left w:w="100" w:type="dxa"/>
              <w:bottom w:w="60" w:type="dxa"/>
              <w:right w:w="100" w:type="dxa"/>
            </w:tcMar>
            <w:vAlign w:val="center"/>
          </w:tcPr>
          <w:p w14:paraId="274866BB" w14:textId="77777777" w:rsidR="005068D4" w:rsidRDefault="003D64B3">
            <w:r>
              <w:rPr>
                <w:sz w:val="19"/>
                <w:szCs w:val="19"/>
              </w:rPr>
              <w:t>Path penalties stack additively with no floor.</w:t>
            </w:r>
          </w:p>
        </w:tc>
        <w:tc>
          <w:tcPr>
            <w:tcW w:w="1615" w:type="dxa"/>
            <w:shd w:val="clear" w:color="auto" w:fill="F2F2F2"/>
            <w:tcMar>
              <w:top w:w="60" w:type="dxa"/>
              <w:left w:w="100" w:type="dxa"/>
              <w:bottom w:w="60" w:type="dxa"/>
              <w:right w:w="100" w:type="dxa"/>
            </w:tcMar>
            <w:vAlign w:val="center"/>
          </w:tcPr>
          <w:p w14:paraId="1F99DF8A" w14:textId="77777777" w:rsidR="005068D4" w:rsidRDefault="003D64B3">
            <w:pPr>
              <w:jc w:val="center"/>
            </w:pPr>
            <w:r>
              <w:rPr>
                <w:sz w:val="19"/>
                <w:szCs w:val="19"/>
              </w:rPr>
              <w:t>Open</w:t>
            </w:r>
          </w:p>
        </w:tc>
        <w:tc>
          <w:tcPr>
            <w:tcW w:w="3339" w:type="dxa"/>
            <w:shd w:val="clear" w:color="auto" w:fill="F2F2F2"/>
            <w:tcMar>
              <w:top w:w="60" w:type="dxa"/>
              <w:left w:w="100" w:type="dxa"/>
              <w:bottom w:w="60" w:type="dxa"/>
              <w:right w:w="100" w:type="dxa"/>
            </w:tcMar>
            <w:vAlign w:val="center"/>
          </w:tcPr>
          <w:p w14:paraId="6D216F2C" w14:textId="77777777" w:rsidR="005068D4" w:rsidRDefault="003D64B3">
            <w:r>
              <w:rPr>
                <w:sz w:val="19"/>
                <w:szCs w:val="19"/>
              </w:rPr>
              <w:t>Not addressed</w:t>
            </w:r>
          </w:p>
        </w:tc>
      </w:tr>
    </w:tbl>
    <w:p w14:paraId="05800A05" w14:textId="77777777" w:rsidR="005068D4" w:rsidRDefault="003D64B3">
      <w:pPr>
        <w:spacing w:before="60" w:after="240"/>
      </w:pPr>
      <w:r>
        <w:rPr>
          <w:i/>
          <w:iCs/>
          <w:color w:val="595959"/>
          <w:sz w:val="19"/>
          <w:szCs w:val="19"/>
        </w:rPr>
        <w:t>Table 1. The twelve weaknesses named in the project README and their disposition in this revision. *Weakness 2's fix is discussed critically in Section 6.1: sourcing the table to WP:RSP is a genuine improvement, but the table remains fundamentally a lookup, and Section 6.1 shows most of Stage 1's apparent accuracy gain came from the table's coverage rather than from a more general algorithm.</w:t>
      </w:r>
    </w:p>
    <w:p w14:paraId="1C0D1F1C" w14:textId="77777777" w:rsidR="005068D4" w:rsidRDefault="003D64B3">
      <w:pPr>
        <w:pStyle w:val="Heading1"/>
      </w:pPr>
      <w:r>
        <w:t>3. Algorithm Design and Rationale</w:t>
      </w:r>
    </w:p>
    <w:p w14:paraId="3E6F3EFA" w14:textId="77777777" w:rsidR="005068D4" w:rsidRDefault="003D64B3">
      <w:pPr>
        <w:pStyle w:val="Heading2"/>
      </w:pPr>
      <w:r>
        <w:t>3.1 Two constraints that shaped every stage</w:t>
      </w:r>
    </w:p>
    <w:p w14:paraId="4CCFD370" w14:textId="77777777" w:rsidR="005068D4" w:rsidRDefault="003D64B3">
      <w:pPr>
        <w:spacing w:after="140"/>
      </w:pPr>
      <w:r>
        <w:t>Two decisions were made before writing any signal-detection code, and both were treated as non-negotiable throughout the four stages. First, contract preservation: score_url()'s return shape never changes. Every new capability — a calibrated probability, an uncertainty interval — is exposed through a separate function (calibrated_probability(), score_with_uncertainty()) rather than by changing what score_url() returns, so the grader's harness, the test suite, and the Streamlit app keep working unmodified at</w:t>
      </w:r>
      <w:r>
        <w:t xml:space="preserve"> every stage. Second, fail-open behaviour, mirrored directly from the baseline's own llm_opinion(): every network call (page fetch, OpenAlex lookup) is wrapped in a try/except that returns None or an empty result rather than raising, so a URL that cannot be reached degrades gracefully to whatever signals are still available instead of crashing the scorer. This choice has a real cost, discussed in Section 6.3.</w:t>
      </w:r>
    </w:p>
    <w:p w14:paraId="5BEF48A0" w14:textId="77777777" w:rsidR="005068D4" w:rsidRDefault="003D64B3">
      <w:pPr>
        <w:spacing w:after="140"/>
      </w:pPr>
      <w:r>
        <w:t>A third, purely architectural decision runs through Stages 2–4: every model-fitting step (Lasso regression, Platt scaling, bootstrap resampling) lives in its own standalone script that depends on scikit-learn, writes a small JSON file, and is never imported by credibility.py itself. At inference time, credibility.py loads that JSON and does a dot product — it has no scikit-learn dependency at all. This keeps the Streamlit app's runtime environment light and keeps the expensive, one-time fitting step separat</w:t>
      </w:r>
      <w:r>
        <w:t>e from the cheap, repeated scoring step.</w:t>
      </w:r>
    </w:p>
    <w:p w14:paraId="05C21345" w14:textId="77777777" w:rsidR="005068D4" w:rsidRDefault="003D64B3">
      <w:pPr>
        <w:pStyle w:val="Heading2"/>
      </w:pPr>
      <w:r>
        <w:t>3.2 Stage 1 — real signals in place of string matching (weaknesses 1–4)</w:t>
      </w:r>
    </w:p>
    <w:p w14:paraId="0169FC30" w14:textId="77777777" w:rsidR="005068D4" w:rsidRDefault="003D64B3">
      <w:pPr>
        <w:spacing w:after="140"/>
      </w:pPr>
      <w:r>
        <w:t>The baseline's Layer 1 never leaves the URL string. Stage 1 adds two genuinely new sources of evidence. page_content_signals() fetches the page (via requests, parsed with BeautifulSoup) and looks for a byline, a publish date, a nontrivial body of text versus a thin stub, and outbound citation-like links — signals the assignment explicitly calls out as the single biggest available improvement. scholarly_signals() extracts a DOI from the URL with a regular expression and queries the OpenAlex API (api.openalex</w:t>
      </w:r>
      <w:r>
        <w:t>.org/works/doi:{doi}, free, no key required) for that work's type field, its is_retracted flag, and its citation count. A preprint is downweighted, a retracted work takes a heavy penalty, and a highly cited work is boosted — directly closing weaknesses 3 and 4. Both lookups are cached to disk keyed by URL, so repeated scoring or re-training does not repeat network calls. Separately, DOMAIN_SCORES itself was re-annotated: rather than an invented number, every entry now carries a category drawn from Wikipedia</w:t>
      </w:r>
      <w:r>
        <w:t>'s Reliable Sources / Perennial Sources list (WP:RSP), a maintained, citable, community-vetted classification of source reliability — replacing weakness 2's "no source, no evidence" with a defensible one. Section 6.1 reports a controlled experiment showing why this fix is only partial.</w:t>
      </w:r>
    </w:p>
    <w:p w14:paraId="59FC60CD" w14:textId="77777777" w:rsidR="005068D4" w:rsidRDefault="003D64B3">
      <w:pPr>
        <w:pStyle w:val="Heading2"/>
      </w:pPr>
      <w:r>
        <w:lastRenderedPageBreak/>
        <w:t>3.3 Stage 2 — learned weights in place of hand-picked constants (weaknesses 6, 9)</w:t>
      </w:r>
    </w:p>
    <w:p w14:paraId="421A8E7C" w14:textId="77777777" w:rsidR="005068D4" w:rsidRDefault="003D64B3">
      <w:pPr>
        <w:spacing w:after="140"/>
      </w:pPr>
      <w:r>
        <w:t>Stage 1 still combined every signal — a 0.05 bump for a byline, a −0.50 penalty for a retraction, a 0.6/0.4 rule/LLM split — by hand, exactly as the baseline did, just with more signals to hand-tune. Stage 2 replaces that arithmetic with a fitted linear model. extract_features() turns the full signal set into a fixed 21-element numeric vector (FEATURE_NAMES); a new script, train_weights.py, fits a Lasso regression (L1-regularized linear regression) mapping that vector onto evaluate.py's labelled scores. Las</w:t>
      </w:r>
      <w:r>
        <w:t>so was chosen over ordinary least squares specifically because its L1 penalty performs feature selection as a side effect of fitting: features that carry no real signal are shrunk to exactly zero, which directly produces the "which features actually matter" report the assignment asks for, rather than requiring a separate selection step. The regularization strength (alpha) is chosen by leave-one-out cross-validation (LOOCV) rather than a train/test split, because with roughly two dozen labelled examples a he</w:t>
      </w:r>
      <w:r>
        <w:t>ld-out test slice would leave only four or five points to evaluate on — too few to trust. LOOCV uses every example as validation exactly once while still fitting on all the others each time, which is the standard recommendation for regression at this sample size. Because the LLM's opinion is now just one more numeric feature in the same vector, weakness 9's untested 0.6/0.4 constant disappears entirely: the blend, if any, is whatever weight the Lasso fit assigns it.</w:t>
      </w:r>
    </w:p>
    <w:p w14:paraId="0FD91393" w14:textId="77777777" w:rsidR="005068D4" w:rsidRDefault="003D64B3">
      <w:pPr>
        <w:pStyle w:val="Heading2"/>
      </w:pPr>
      <w:r>
        <w:t>3.4 Stage 3 — measuring and addressing calibration (weakness 7)</w:t>
      </w:r>
    </w:p>
    <w:p w14:paraId="15D0B0CB" w14:textId="77777777" w:rsidR="005068D4" w:rsidRDefault="003D64B3">
      <w:pPr>
        <w:spacing w:after="140"/>
      </w:pPr>
      <w:r>
        <w:t>"Not calibrated" is a specific, testable claim: among every URL the scorer assigns 0.7, roughly 70% of them should actually be credible. calibration.py measures this honestly rather than assuming it. Because calibration is defined for a predicted probability of a binary event, and evaluate.py's labels are graded (0.05–0.95, not 0/1), the script first collapses each label to a binary "credible / not credible" call at a threshold, computes the Brier score and a five-bin reliability table for the raw score tre</w:t>
      </w:r>
      <w:r>
        <w:t>ated as a probability, then fits Platt scaling — a one-parameter-pair logistic recalibration, sigmoid(A·raw_score + B) — evaluated honestly via the same leave-one-out discipline used in Stage 2. The corrected probability is exposed through a new function, calibrated_probability(), and deliberately does not overwrite score_url()'s own output, because the two are answering different questions: one is a calibrated P(credible), the other is a graded estimate of how credible a source is. Section 5.5 reports that</w:t>
      </w:r>
      <w:r>
        <w:t xml:space="preserve"> this caution is not hypothetical — measured against this project's actual data, Platt scaling makes both the calibration metrics and accuracy against the continuous labels worse, not better, and that finding held up when the student re-ran the script independently on their own machine with real network access.</w:t>
      </w:r>
    </w:p>
    <w:p w14:paraId="021B0CAE" w14:textId="77777777" w:rsidR="005068D4" w:rsidRDefault="003D64B3">
      <w:pPr>
        <w:pStyle w:val="Heading2"/>
      </w:pPr>
      <w:r>
        <w:t>3.5 Stage 4 — bootstrapped uncertainty (weakness 8)</w:t>
      </w:r>
    </w:p>
    <w:p w14:paraId="62C213C6" w14:textId="77777777" w:rsidR="005068D4" w:rsidRDefault="003D64B3">
      <w:pPr>
        <w:spacing w:after="140"/>
      </w:pPr>
      <w:r>
        <w:t>The baseline returns a bare point estimate whether the URL's domain is nature.com or something nobody has ever scored. bootstrap_uncertainty.py resamples the labelled URLs with replacement 500 times, fits a fixed-alpha Lasso (the alpha chosen once via LOOCV on the full dataset, the same method as Stage 2, rather than re-selected inside every resample) to each resample, and saves all 500 fitted models. score_with_uncertainty() then runs a URL's feature vector through all 500 models and reports a percentile i</w:t>
      </w:r>
      <w:r>
        <w:t>nterval around the point estimate. No interval is hand-tuned per domain: a URL whose features resemble plenty of the training data yields 500 models that mostly agree (a narrow interval), while a URL unlike anything the small training set represents yields disagreement (a wide interval) purely as an emergent property of how well-constrained that region of feature space is.</w:t>
      </w:r>
    </w:p>
    <w:p w14:paraId="4A7D8559" w14:textId="77777777" w:rsidR="005068D4" w:rsidRDefault="003D64B3">
      <w:pPr>
        <w:pStyle w:val="Heading1"/>
      </w:pPr>
      <w:r>
        <w:t>4. Literature Review</w:t>
      </w:r>
    </w:p>
    <w:p w14:paraId="4C717FD2" w14:textId="77777777" w:rsidR="005068D4" w:rsidRDefault="003D64B3">
      <w:pPr>
        <w:spacing w:after="140"/>
      </w:pPr>
      <w:r>
        <w:t>Each stage above draws on a specific, citable methodology rather than an ad hoc choice. This section states what was drawn from each source and why it applies here.</w:t>
      </w:r>
    </w:p>
    <w:p w14:paraId="394188FC" w14:textId="77777777" w:rsidR="005068D4" w:rsidRDefault="003D64B3">
      <w:pPr>
        <w:pStyle w:val="Heading2"/>
      </w:pPr>
      <w:r>
        <w:t>4.1 Credibility signal extraction</w:t>
      </w:r>
    </w:p>
    <w:p w14:paraId="22310264" w14:textId="77777777" w:rsidR="005068D4" w:rsidRDefault="003D64B3">
      <w:pPr>
        <w:spacing w:after="140"/>
      </w:pPr>
      <w:r>
        <w:t xml:space="preserve">Zhang and Ghorbani's </w:t>
      </w:r>
      <w:r>
        <w:rPr>
          <w:i/>
          <w:iCs/>
        </w:rPr>
        <w:t>survey of automatic credibility assessment</w:t>
      </w:r>
      <w:r>
        <w:t xml:space="preserve"> catalogues the textual and structural signals the literature has found predictive of source reliability — authorship, recency, citation structure, and editorial markers among them — which directly motivated fetching the page itself in Stage 1 rather than continuing to infer credibility from the URL string alone.</w:t>
      </w:r>
    </w:p>
    <w:p w14:paraId="4D357DCF" w14:textId="77777777" w:rsidR="005068D4" w:rsidRDefault="003D64B3">
      <w:pPr>
        <w:spacing w:after="140"/>
      </w:pPr>
      <w:r>
        <w:lastRenderedPageBreak/>
        <w:t xml:space="preserve">A parallel line of work formalizes this for a narrower domain: the </w:t>
      </w:r>
      <w:r>
        <w:rPr>
          <w:i/>
          <w:iCs/>
        </w:rPr>
        <w:t>HONcode-based model for automated credibility assessment of web-based health information</w:t>
      </w:r>
      <w:r>
        <w:t xml:space="preserve"> validates a rule-based scoring model against a professional code of conduct rather than an invented rubric, which is the same justification used here for anchoring DOMAIN_SCORES to WP:RSP rather than to guesses — a scoring table is only as defensible as the standard it is checked against.</w:t>
      </w:r>
    </w:p>
    <w:p w14:paraId="182852FB" w14:textId="77777777" w:rsidR="005068D4" w:rsidRDefault="003D64B3">
      <w:pPr>
        <w:pStyle w:val="Heading2"/>
      </w:pPr>
      <w:r>
        <w:t>4.2 Source reliability classification</w:t>
      </w:r>
    </w:p>
    <w:p w14:paraId="5E04266C" w14:textId="77777777" w:rsidR="005068D4" w:rsidRDefault="003D64B3">
      <w:pPr>
        <w:spacing w:after="140"/>
      </w:pPr>
      <w:r>
        <w:t xml:space="preserve">Wikipedia's </w:t>
      </w:r>
      <w:r>
        <w:rPr>
          <w:i/>
          <w:iCs/>
        </w:rPr>
        <w:t>Reliable Sources / Perennial Sources list</w:t>
      </w:r>
      <w:r>
        <w:t xml:space="preserve"> is the specific classification DOMAIN_SCORES was re-annotated against. It is maintained by an active editorial community, revisited and re-discussed as sources' reputations change, and — critically for a class project with no budget for an original survey — free and programmatically scrapable. It is not a perfect proxy for credibility (its judgments are about editorial reliability for encyclopedic sourcing specifically, and it is silent on the great majority of domains on the open web), a limitation discus</w:t>
      </w:r>
      <w:r>
        <w:t>sed further in Section 6.1.</w:t>
      </w:r>
    </w:p>
    <w:p w14:paraId="6042E2C3" w14:textId="77777777" w:rsidR="005068D4" w:rsidRDefault="003D64B3">
      <w:pPr>
        <w:pStyle w:val="Heading2"/>
      </w:pPr>
      <w:r>
        <w:t>4.3 Feature selection and the learned model</w:t>
      </w:r>
    </w:p>
    <w:p w14:paraId="01023167" w14:textId="77777777" w:rsidR="005068D4" w:rsidRDefault="003D64B3">
      <w:pPr>
        <w:spacing w:after="140"/>
      </w:pPr>
      <w:r>
        <w:t xml:space="preserve">Tibshirani's </w:t>
      </w:r>
      <w:r>
        <w:rPr>
          <w:i/>
          <w:iCs/>
        </w:rPr>
        <w:t>"Regression Shrinkage and Selection via the Lasso"</w:t>
      </w:r>
      <w:r>
        <w:t xml:space="preserve"> (1996) is the original statement of the L1-regularized regression used in Stage 2. The property exploited here is specifically the one the paper proves: the L1 penalty, unlike ridge regression's L2 penalty, drives coefficients exactly to zero rather than merely shrinking them, which is what turns model-fitting into feature selection at the same time — the property the assignment asks the report to exploit ("report which features actually matter").</w:t>
      </w:r>
    </w:p>
    <w:p w14:paraId="4C2DF8BC" w14:textId="77777777" w:rsidR="005068D4" w:rsidRDefault="003D64B3">
      <w:pPr>
        <w:pStyle w:val="Heading2"/>
      </w:pPr>
      <w:r>
        <w:t>4.4 Calibration</w:t>
      </w:r>
    </w:p>
    <w:p w14:paraId="1AAC269B" w14:textId="77777777" w:rsidR="005068D4" w:rsidRDefault="003D64B3">
      <w:pPr>
        <w:spacing w:after="140"/>
      </w:pPr>
      <w:r>
        <w:t xml:space="preserve">Platt's </w:t>
      </w:r>
      <w:r>
        <w:rPr>
          <w:i/>
          <w:iCs/>
        </w:rPr>
        <w:t>"Probabilistic Outputs for Support Vector Machines and Comparisons to Regularized Likelihood Methods"</w:t>
      </w:r>
      <w:r>
        <w:t xml:space="preserve"> (1999) is the origin of the sigmoid recalibration technique fit in Stage 3. Platt scaling was chosen over more flexible alternatives (isotonic regression, in particular) specifically because it has only two free parameters, which matters at this project's sample size: a nonparametric calibration method fit on roughly two dozen points risks overfitting the calibration curve itself.</w:t>
      </w:r>
    </w:p>
    <w:p w14:paraId="5951D33C" w14:textId="77777777" w:rsidR="005068D4" w:rsidRDefault="003D64B3">
      <w:pPr>
        <w:spacing w:after="140"/>
      </w:pPr>
      <w:r>
        <w:t xml:space="preserve">Brier's </w:t>
      </w:r>
      <w:r>
        <w:rPr>
          <w:i/>
          <w:iCs/>
        </w:rPr>
        <w:t>"Verification of Forecasts Expressed in Terms of Probability"</w:t>
      </w:r>
      <w:r>
        <w:t xml:space="preserve"> (1950) — originally written for weather forecasting, and still the standard proper scoring rule for a predicted probability — is the metric Stage 3 uses to quantify calibration error before and after correction. It was chosen over accuracy or log-loss because it is well-defined at small sample sizes, bounded in [0, 1], and decomposes cleanly into a reliability term and a resolution term, which is exactly the reliability-table breakdown Stage 3 reports.</w:t>
      </w:r>
    </w:p>
    <w:p w14:paraId="33219737" w14:textId="77777777" w:rsidR="005068D4" w:rsidRDefault="003D64B3">
      <w:pPr>
        <w:pStyle w:val="Heading2"/>
      </w:pPr>
      <w:r>
        <w:t>4.5 Scholarly metadata and retraction</w:t>
      </w:r>
    </w:p>
    <w:p w14:paraId="2AB2DA78" w14:textId="77777777" w:rsidR="005068D4" w:rsidRDefault="003D64B3">
      <w:pPr>
        <w:spacing w:after="140"/>
      </w:pPr>
      <w:r>
        <w:t xml:space="preserve">Hauschke and Nazarovets' </w:t>
      </w:r>
      <w:r>
        <w:rPr>
          <w:i/>
          <w:iCs/>
        </w:rPr>
        <w:t>"(Non-)retracted academic papers in OpenAlex"</w:t>
      </w:r>
      <w:r>
        <w:t xml:space="preserve"> (2024) is both the justification for and a caution about Stage 1's retraction check: the paper confirms OpenAlex indexes retraction status at meaningful scale (supporting its use as a free, no-key API for this project), but also documents real coverage gaps — not every retraction in Retraction Watch or Crossref's retraction registry is mirrored in OpenAlex, and coverage varies by field and publisher. The bootstrap analysis in Section 5.4 shows this caution was warranted: the retracted feature is one of the</w:t>
      </w:r>
      <w:r>
        <w:t xml:space="preserve"> least stable in the fitted model, for reasons connected to both this coverage gap and the small number of retracted works in the labelled set.</w:t>
      </w:r>
    </w:p>
    <w:p w14:paraId="2A73FDFE" w14:textId="77777777" w:rsidR="005068D4" w:rsidRDefault="003D64B3">
      <w:pPr>
        <w:pStyle w:val="Heading1"/>
      </w:pPr>
      <w:r>
        <w:t>5. Experimental Methodology and Quantitative Results</w:t>
      </w:r>
    </w:p>
    <w:p w14:paraId="3EE3CF4B" w14:textId="77777777" w:rsidR="005068D4" w:rsidRDefault="003D64B3">
      <w:pPr>
        <w:pStyle w:val="Heading2"/>
      </w:pPr>
      <w:r>
        <w:t>5.1 Dataset and evaluation harness</w:t>
      </w:r>
    </w:p>
    <w:p w14:paraId="449437CD" w14:textId="77777777" w:rsidR="005068D4" w:rsidRDefault="003D64B3">
      <w:pPr>
        <w:spacing w:after="140"/>
      </w:pPr>
      <w:r>
        <w:t>evaluate.py ships with 24 hand-labelled URLs spanning five bands from near-zero (satire, fabrication) to 0.95 (top-tier peer-reviewed journals), including a block of seven URLs the README explicitly marks HELD OUT — deliberately absent from the original DOMAIN_SCORES table, meant to test whether an improvement generalizes beyond memorized domains rather than merely covering more of them. For this report, three additional URLs were added to that file to stress-test specific fixes with concrete cases rather t</w:t>
      </w:r>
      <w:r>
        <w:t xml:space="preserve">han only the aggregate metric: a New York Times blog subdomain (testing whether weakness 11's subdomain-inheritance problem is still present), a personal academic homepage on a .edu domain (testing weakness 5), and a real, retracted Lancet article — the Surgisphere </w:t>
      </w:r>
      <w:r>
        <w:lastRenderedPageBreak/>
        <w:t>hydroxychloroquine study (doi:10.1016/S0140-6736(20)31180-6) — to confirm the Stage 1 retraction check fires on an actual, documented retraction rather than only synthetic examples. All results below that reference "n = 27" use this extended set;</w:t>
      </w:r>
      <w:r>
        <w:t xml:space="preserve"> results explicitly labelled n = 24 use the original file unmodified, run in this report's own environment for a clean, apples-to-apples baseline number.</w:t>
      </w:r>
    </w:p>
    <w:p w14:paraId="052D9F39" w14:textId="77777777" w:rsidR="005068D4" w:rsidRDefault="003D64B3">
      <w:pPr>
        <w:pStyle w:val="Heading2"/>
      </w:pPr>
      <w:r>
        <w:t>5.2 Stage 1 + 2: headline accuracy</w:t>
      </w:r>
    </w:p>
    <w:p w14:paraId="424208D3" w14:textId="77777777" w:rsidR="005068D4" w:rsidRDefault="003D64B3">
      <w:pPr>
        <w:spacing w:after="140"/>
      </w:pPr>
      <w:r>
        <w:t>Mean absolute error (MAE) against the continuous expected score and band accuracy (does the HIGH/MEDIUM/LOW chip match) are evaluate.py's two headline metrics. Table 2 reports both for the unmodified baseline (rules only, no LLM layer, n = 24) and for the final Stage 1+2 system with the LLM layer off (n = 27, run by the student with real network access, since Stage 1's page-fetch and OpenAlex signals require it). The two rows are not on an identical URL set — the final run includes the three additional URLs</w:t>
      </w:r>
      <w:r>
        <w:t xml:space="preserve"> described above — and that difference is stated here rather than glossed over.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3"/>
        <w:gridCol w:w="1465"/>
        <w:gridCol w:w="1852"/>
        <w:gridCol w:w="2046"/>
        <w:gridCol w:w="1594"/>
      </w:tblGrid>
      <w:tr w:rsidR="005068D4" w14:paraId="643735CA" w14:textId="77777777">
        <w:tblPrEx>
          <w:tblCellMar>
            <w:top w:w="0" w:type="dxa"/>
            <w:bottom w:w="0" w:type="dxa"/>
          </w:tblCellMar>
        </w:tblPrEx>
        <w:trPr>
          <w:tblHeader/>
        </w:trPr>
        <w:tc>
          <w:tcPr>
            <w:tcW w:w="3123" w:type="dxa"/>
            <w:shd w:val="clear" w:color="auto" w:fill="1F3864"/>
            <w:tcMar>
              <w:top w:w="60" w:type="dxa"/>
              <w:left w:w="100" w:type="dxa"/>
              <w:bottom w:w="60" w:type="dxa"/>
              <w:right w:w="100" w:type="dxa"/>
            </w:tcMar>
            <w:vAlign w:val="center"/>
          </w:tcPr>
          <w:p w14:paraId="7A596C8D" w14:textId="77777777" w:rsidR="005068D4" w:rsidRDefault="003D64B3">
            <w:pPr>
              <w:jc w:val="center"/>
            </w:pPr>
            <w:r>
              <w:rPr>
                <w:b/>
                <w:bCs/>
                <w:color w:val="FFFFFF"/>
                <w:sz w:val="19"/>
                <w:szCs w:val="19"/>
              </w:rPr>
              <w:t>System</w:t>
            </w:r>
          </w:p>
        </w:tc>
        <w:tc>
          <w:tcPr>
            <w:tcW w:w="1465" w:type="dxa"/>
            <w:shd w:val="clear" w:color="auto" w:fill="1F3864"/>
            <w:tcMar>
              <w:top w:w="60" w:type="dxa"/>
              <w:left w:w="100" w:type="dxa"/>
              <w:bottom w:w="60" w:type="dxa"/>
              <w:right w:w="100" w:type="dxa"/>
            </w:tcMar>
            <w:vAlign w:val="center"/>
          </w:tcPr>
          <w:p w14:paraId="53A65E9F" w14:textId="77777777" w:rsidR="005068D4" w:rsidRDefault="003D64B3">
            <w:pPr>
              <w:jc w:val="center"/>
            </w:pPr>
            <w:r>
              <w:rPr>
                <w:b/>
                <w:bCs/>
                <w:color w:val="FFFFFF"/>
                <w:sz w:val="19"/>
                <w:szCs w:val="19"/>
              </w:rPr>
              <w:t>n</w:t>
            </w:r>
          </w:p>
        </w:tc>
        <w:tc>
          <w:tcPr>
            <w:tcW w:w="1852" w:type="dxa"/>
            <w:shd w:val="clear" w:color="auto" w:fill="1F3864"/>
            <w:tcMar>
              <w:top w:w="60" w:type="dxa"/>
              <w:left w:w="100" w:type="dxa"/>
              <w:bottom w:w="60" w:type="dxa"/>
              <w:right w:w="100" w:type="dxa"/>
            </w:tcMar>
            <w:vAlign w:val="center"/>
          </w:tcPr>
          <w:p w14:paraId="3088EE47" w14:textId="77777777" w:rsidR="005068D4" w:rsidRDefault="003D64B3">
            <w:pPr>
              <w:jc w:val="center"/>
            </w:pPr>
            <w:r>
              <w:rPr>
                <w:b/>
                <w:bCs/>
                <w:color w:val="FFFFFF"/>
                <w:sz w:val="19"/>
                <w:szCs w:val="19"/>
              </w:rPr>
              <w:t>MAE ↓</w:t>
            </w:r>
          </w:p>
        </w:tc>
        <w:tc>
          <w:tcPr>
            <w:tcW w:w="2046" w:type="dxa"/>
            <w:shd w:val="clear" w:color="auto" w:fill="1F3864"/>
            <w:tcMar>
              <w:top w:w="60" w:type="dxa"/>
              <w:left w:w="100" w:type="dxa"/>
              <w:bottom w:w="60" w:type="dxa"/>
              <w:right w:w="100" w:type="dxa"/>
            </w:tcMar>
            <w:vAlign w:val="center"/>
          </w:tcPr>
          <w:p w14:paraId="1029DE95" w14:textId="77777777" w:rsidR="005068D4" w:rsidRDefault="003D64B3">
            <w:pPr>
              <w:jc w:val="center"/>
            </w:pPr>
            <w:r>
              <w:rPr>
                <w:b/>
                <w:bCs/>
                <w:color w:val="FFFFFF"/>
                <w:sz w:val="19"/>
                <w:szCs w:val="19"/>
              </w:rPr>
              <w:t>Band accuracy ↑</w:t>
            </w:r>
          </w:p>
        </w:tc>
        <w:tc>
          <w:tcPr>
            <w:tcW w:w="1594" w:type="dxa"/>
            <w:shd w:val="clear" w:color="auto" w:fill="1F3864"/>
            <w:tcMar>
              <w:top w:w="60" w:type="dxa"/>
              <w:left w:w="100" w:type="dxa"/>
              <w:bottom w:w="60" w:type="dxa"/>
              <w:right w:w="100" w:type="dxa"/>
            </w:tcMar>
            <w:vAlign w:val="center"/>
          </w:tcPr>
          <w:p w14:paraId="314CA3DD" w14:textId="77777777" w:rsidR="005068D4" w:rsidRDefault="003D64B3">
            <w:pPr>
              <w:jc w:val="center"/>
            </w:pPr>
            <w:r>
              <w:rPr>
                <w:b/>
                <w:bCs/>
                <w:color w:val="FFFFFF"/>
                <w:sz w:val="19"/>
                <w:szCs w:val="19"/>
              </w:rPr>
              <w:t>Worst error</w:t>
            </w:r>
          </w:p>
        </w:tc>
      </w:tr>
      <w:tr w:rsidR="005068D4" w14:paraId="1157701F" w14:textId="77777777">
        <w:tblPrEx>
          <w:tblCellMar>
            <w:top w:w="0" w:type="dxa"/>
            <w:bottom w:w="0" w:type="dxa"/>
          </w:tblCellMar>
        </w:tblPrEx>
        <w:tc>
          <w:tcPr>
            <w:tcW w:w="3123" w:type="dxa"/>
            <w:shd w:val="clear" w:color="auto" w:fill="FFFFFF"/>
            <w:tcMar>
              <w:top w:w="60" w:type="dxa"/>
              <w:left w:w="100" w:type="dxa"/>
              <w:bottom w:w="60" w:type="dxa"/>
              <w:right w:w="100" w:type="dxa"/>
            </w:tcMar>
            <w:vAlign w:val="center"/>
          </w:tcPr>
          <w:p w14:paraId="351784CA" w14:textId="77777777" w:rsidR="005068D4" w:rsidRDefault="003D64B3">
            <w:pPr>
              <w:jc w:val="center"/>
            </w:pPr>
            <w:r>
              <w:rPr>
                <w:sz w:val="19"/>
                <w:szCs w:val="19"/>
              </w:rPr>
              <w:t>Baseline (original code, rules only)</w:t>
            </w:r>
          </w:p>
        </w:tc>
        <w:tc>
          <w:tcPr>
            <w:tcW w:w="1465" w:type="dxa"/>
            <w:shd w:val="clear" w:color="auto" w:fill="FFFFFF"/>
            <w:tcMar>
              <w:top w:w="60" w:type="dxa"/>
              <w:left w:w="100" w:type="dxa"/>
              <w:bottom w:w="60" w:type="dxa"/>
              <w:right w:w="100" w:type="dxa"/>
            </w:tcMar>
            <w:vAlign w:val="center"/>
          </w:tcPr>
          <w:p w14:paraId="624DFD44" w14:textId="77777777" w:rsidR="005068D4" w:rsidRDefault="003D64B3">
            <w:pPr>
              <w:jc w:val="center"/>
            </w:pPr>
            <w:r>
              <w:rPr>
                <w:sz w:val="19"/>
                <w:szCs w:val="19"/>
              </w:rPr>
              <w:t>24</w:t>
            </w:r>
          </w:p>
        </w:tc>
        <w:tc>
          <w:tcPr>
            <w:tcW w:w="1852" w:type="dxa"/>
            <w:shd w:val="clear" w:color="auto" w:fill="FFFFFF"/>
            <w:tcMar>
              <w:top w:w="60" w:type="dxa"/>
              <w:left w:w="100" w:type="dxa"/>
              <w:bottom w:w="60" w:type="dxa"/>
              <w:right w:w="100" w:type="dxa"/>
            </w:tcMar>
            <w:vAlign w:val="center"/>
          </w:tcPr>
          <w:p w14:paraId="64FA0945" w14:textId="77777777" w:rsidR="005068D4" w:rsidRDefault="003D64B3">
            <w:pPr>
              <w:jc w:val="center"/>
            </w:pPr>
            <w:r>
              <w:rPr>
                <w:sz w:val="19"/>
                <w:szCs w:val="19"/>
              </w:rPr>
              <w:t>0.142</w:t>
            </w:r>
          </w:p>
        </w:tc>
        <w:tc>
          <w:tcPr>
            <w:tcW w:w="2046" w:type="dxa"/>
            <w:shd w:val="clear" w:color="auto" w:fill="FFFFFF"/>
            <w:tcMar>
              <w:top w:w="60" w:type="dxa"/>
              <w:left w:w="100" w:type="dxa"/>
              <w:bottom w:w="60" w:type="dxa"/>
              <w:right w:w="100" w:type="dxa"/>
            </w:tcMar>
            <w:vAlign w:val="center"/>
          </w:tcPr>
          <w:p w14:paraId="674287A9" w14:textId="77777777" w:rsidR="005068D4" w:rsidRDefault="003D64B3">
            <w:pPr>
              <w:jc w:val="center"/>
            </w:pPr>
            <w:r>
              <w:rPr>
                <w:sz w:val="19"/>
                <w:szCs w:val="19"/>
              </w:rPr>
              <w:t>66.7%</w:t>
            </w:r>
          </w:p>
        </w:tc>
        <w:tc>
          <w:tcPr>
            <w:tcW w:w="1594" w:type="dxa"/>
            <w:shd w:val="clear" w:color="auto" w:fill="FFFFFF"/>
            <w:tcMar>
              <w:top w:w="60" w:type="dxa"/>
              <w:left w:w="100" w:type="dxa"/>
              <w:bottom w:w="60" w:type="dxa"/>
              <w:right w:w="100" w:type="dxa"/>
            </w:tcMar>
            <w:vAlign w:val="center"/>
          </w:tcPr>
          <w:p w14:paraId="7E5B584D" w14:textId="77777777" w:rsidR="005068D4" w:rsidRDefault="003D64B3">
            <w:pPr>
              <w:jc w:val="center"/>
            </w:pPr>
            <w:r>
              <w:rPr>
                <w:sz w:val="19"/>
                <w:szCs w:val="19"/>
              </w:rPr>
              <w:t>0.410</w:t>
            </w:r>
          </w:p>
        </w:tc>
      </w:tr>
      <w:tr w:rsidR="005068D4" w14:paraId="26C7EF3B" w14:textId="77777777">
        <w:tblPrEx>
          <w:tblCellMar>
            <w:top w:w="0" w:type="dxa"/>
            <w:bottom w:w="0" w:type="dxa"/>
          </w:tblCellMar>
        </w:tblPrEx>
        <w:tc>
          <w:tcPr>
            <w:tcW w:w="3123" w:type="dxa"/>
            <w:shd w:val="clear" w:color="auto" w:fill="DCE6F1"/>
            <w:tcMar>
              <w:top w:w="60" w:type="dxa"/>
              <w:left w:w="100" w:type="dxa"/>
              <w:bottom w:w="60" w:type="dxa"/>
              <w:right w:w="100" w:type="dxa"/>
            </w:tcMar>
            <w:vAlign w:val="center"/>
          </w:tcPr>
          <w:p w14:paraId="62750956" w14:textId="77777777" w:rsidR="005068D4" w:rsidRDefault="003D64B3">
            <w:pPr>
              <w:jc w:val="center"/>
            </w:pPr>
            <w:r>
              <w:rPr>
                <w:sz w:val="19"/>
                <w:szCs w:val="19"/>
              </w:rPr>
              <w:t>Final (Stage 1 + Stage 2, rules only)</w:t>
            </w:r>
          </w:p>
        </w:tc>
        <w:tc>
          <w:tcPr>
            <w:tcW w:w="1465" w:type="dxa"/>
            <w:shd w:val="clear" w:color="auto" w:fill="DCE6F1"/>
            <w:tcMar>
              <w:top w:w="60" w:type="dxa"/>
              <w:left w:w="100" w:type="dxa"/>
              <w:bottom w:w="60" w:type="dxa"/>
              <w:right w:w="100" w:type="dxa"/>
            </w:tcMar>
            <w:vAlign w:val="center"/>
          </w:tcPr>
          <w:p w14:paraId="3EF40B4C" w14:textId="77777777" w:rsidR="005068D4" w:rsidRDefault="003D64B3">
            <w:pPr>
              <w:jc w:val="center"/>
            </w:pPr>
            <w:r>
              <w:rPr>
                <w:sz w:val="19"/>
                <w:szCs w:val="19"/>
              </w:rPr>
              <w:t>27</w:t>
            </w:r>
          </w:p>
        </w:tc>
        <w:tc>
          <w:tcPr>
            <w:tcW w:w="1852" w:type="dxa"/>
            <w:shd w:val="clear" w:color="auto" w:fill="DCE6F1"/>
            <w:tcMar>
              <w:top w:w="60" w:type="dxa"/>
              <w:left w:w="100" w:type="dxa"/>
              <w:bottom w:w="60" w:type="dxa"/>
              <w:right w:w="100" w:type="dxa"/>
            </w:tcMar>
            <w:vAlign w:val="center"/>
          </w:tcPr>
          <w:p w14:paraId="33624165" w14:textId="77777777" w:rsidR="005068D4" w:rsidRDefault="003D64B3">
            <w:pPr>
              <w:jc w:val="center"/>
            </w:pPr>
            <w:r>
              <w:rPr>
                <w:sz w:val="19"/>
                <w:szCs w:val="19"/>
              </w:rPr>
              <w:t>0.041</w:t>
            </w:r>
          </w:p>
        </w:tc>
        <w:tc>
          <w:tcPr>
            <w:tcW w:w="2046" w:type="dxa"/>
            <w:shd w:val="clear" w:color="auto" w:fill="DCE6F1"/>
            <w:tcMar>
              <w:top w:w="60" w:type="dxa"/>
              <w:left w:w="100" w:type="dxa"/>
              <w:bottom w:w="60" w:type="dxa"/>
              <w:right w:w="100" w:type="dxa"/>
            </w:tcMar>
            <w:vAlign w:val="center"/>
          </w:tcPr>
          <w:p w14:paraId="5B7390EA" w14:textId="77777777" w:rsidR="005068D4" w:rsidRDefault="003D64B3">
            <w:pPr>
              <w:jc w:val="center"/>
            </w:pPr>
            <w:r>
              <w:rPr>
                <w:sz w:val="19"/>
                <w:szCs w:val="19"/>
              </w:rPr>
              <w:t>92.6%</w:t>
            </w:r>
          </w:p>
        </w:tc>
        <w:tc>
          <w:tcPr>
            <w:tcW w:w="1594" w:type="dxa"/>
            <w:shd w:val="clear" w:color="auto" w:fill="DCE6F1"/>
            <w:tcMar>
              <w:top w:w="60" w:type="dxa"/>
              <w:left w:w="100" w:type="dxa"/>
              <w:bottom w:w="60" w:type="dxa"/>
              <w:right w:w="100" w:type="dxa"/>
            </w:tcMar>
            <w:vAlign w:val="center"/>
          </w:tcPr>
          <w:p w14:paraId="7B8B36F2" w14:textId="77777777" w:rsidR="005068D4" w:rsidRDefault="003D64B3">
            <w:pPr>
              <w:jc w:val="center"/>
            </w:pPr>
            <w:r>
              <w:rPr>
                <w:sz w:val="19"/>
                <w:szCs w:val="19"/>
              </w:rPr>
              <w:t>0.350</w:t>
            </w:r>
          </w:p>
        </w:tc>
      </w:tr>
    </w:tbl>
    <w:p w14:paraId="5F317416" w14:textId="77777777" w:rsidR="005068D4" w:rsidRDefault="003D64B3">
      <w:pPr>
        <w:spacing w:before="60" w:after="240"/>
      </w:pPr>
      <w:r>
        <w:rPr>
          <w:i/>
          <w:iCs/>
          <w:color w:val="595959"/>
          <w:sz w:val="19"/>
          <w:szCs w:val="19"/>
        </w:rPr>
        <w:t>Table 2. Headline results. MAE fell by roughly 71% and band accuracy rose from two-thirds to over nine-tenths correct. Section 6.1 shows a meaningful share of this gain is attributable to DOMAIN_SCORES' expanded coverage rather than to page-content or scholarly signals alone — see that section before treating this row as purely algorithmic improvement.</w:t>
      </w:r>
    </w:p>
    <w:p w14:paraId="073F5F0A" w14:textId="77777777" w:rsidR="005068D4" w:rsidRDefault="003D64B3">
      <w:pPr>
        <w:pStyle w:val="Heading2"/>
      </w:pPr>
      <w:r>
        <w:t>5.3 Stage 2 detail: what the Lasso model actually learned</w:t>
      </w:r>
    </w:p>
    <w:p w14:paraId="252DBD74" w14:textId="77777777" w:rsidR="005068D4" w:rsidRDefault="003D64B3">
      <w:pPr>
        <w:spacing w:after="140"/>
      </w:pPr>
      <w:r>
        <w:t>train_weights.py fit LassoCV with leave-one-out cross-validation on the 21-feature vector; the selected regularization strength was alpha ≈ 0.00087 (the same value bootstrap_uncertainty.py independently selects via the identical LOOCV procedure — see Section 5.4). Of 21 candidate features, 8 survived with a nonzero coefficient; the remaining 13 were shrunk to exactly zero. In-sample MAE (the model scored against the same rows it was fit on) was 0.043 — an optimistic number, reported here only to be explicit</w:t>
      </w:r>
      <w:r>
        <w:t>ly flagged as such. The leave-one-out MAE — each point scored by a model that never saw it during that fold's fit — was 0.068, and that is the number that should anchor any claim about this model's real accuracy. Table 3 lists the eight retained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1615"/>
        <w:gridCol w:w="1831"/>
        <w:gridCol w:w="2369"/>
        <w:gridCol w:w="1896"/>
      </w:tblGrid>
      <w:tr w:rsidR="005068D4" w14:paraId="7BC0FFFC" w14:textId="77777777">
        <w:tblPrEx>
          <w:tblCellMar>
            <w:top w:w="0" w:type="dxa"/>
            <w:bottom w:w="0" w:type="dxa"/>
          </w:tblCellMar>
        </w:tblPrEx>
        <w:trPr>
          <w:tblHeader/>
        </w:trPr>
        <w:tc>
          <w:tcPr>
            <w:tcW w:w="2369" w:type="dxa"/>
            <w:shd w:val="clear" w:color="auto" w:fill="1F3864"/>
            <w:tcMar>
              <w:top w:w="60" w:type="dxa"/>
              <w:left w:w="100" w:type="dxa"/>
              <w:bottom w:w="60" w:type="dxa"/>
              <w:right w:w="100" w:type="dxa"/>
            </w:tcMar>
            <w:vAlign w:val="center"/>
          </w:tcPr>
          <w:p w14:paraId="66C9D52B" w14:textId="77777777" w:rsidR="005068D4" w:rsidRDefault="003D64B3">
            <w:pPr>
              <w:jc w:val="center"/>
            </w:pPr>
            <w:r>
              <w:rPr>
                <w:b/>
                <w:bCs/>
                <w:color w:val="FFFFFF"/>
                <w:sz w:val="19"/>
                <w:szCs w:val="19"/>
              </w:rPr>
              <w:t>Feature</w:t>
            </w:r>
          </w:p>
        </w:tc>
        <w:tc>
          <w:tcPr>
            <w:tcW w:w="1615" w:type="dxa"/>
            <w:shd w:val="clear" w:color="auto" w:fill="1F3864"/>
            <w:tcMar>
              <w:top w:w="60" w:type="dxa"/>
              <w:left w:w="100" w:type="dxa"/>
              <w:bottom w:w="60" w:type="dxa"/>
              <w:right w:w="100" w:type="dxa"/>
            </w:tcMar>
            <w:vAlign w:val="center"/>
          </w:tcPr>
          <w:p w14:paraId="6803BE24" w14:textId="77777777" w:rsidR="005068D4" w:rsidRDefault="003D64B3">
            <w:pPr>
              <w:jc w:val="center"/>
            </w:pPr>
            <w:r>
              <w:rPr>
                <w:b/>
                <w:bCs/>
                <w:color w:val="FFFFFF"/>
                <w:sz w:val="19"/>
                <w:szCs w:val="19"/>
              </w:rPr>
              <w:t>Coefficient</w:t>
            </w:r>
          </w:p>
        </w:tc>
        <w:tc>
          <w:tcPr>
            <w:tcW w:w="1831" w:type="dxa"/>
            <w:shd w:val="clear" w:color="auto" w:fill="1F3864"/>
            <w:tcMar>
              <w:top w:w="60" w:type="dxa"/>
              <w:left w:w="100" w:type="dxa"/>
              <w:bottom w:w="60" w:type="dxa"/>
              <w:right w:w="100" w:type="dxa"/>
            </w:tcMar>
            <w:vAlign w:val="center"/>
          </w:tcPr>
          <w:p w14:paraId="72A25E04" w14:textId="77777777" w:rsidR="005068D4" w:rsidRDefault="003D64B3">
            <w:pPr>
              <w:jc w:val="center"/>
            </w:pPr>
            <w:r>
              <w:rPr>
                <w:b/>
                <w:bCs/>
                <w:color w:val="FFFFFF"/>
                <w:sz w:val="19"/>
                <w:szCs w:val="19"/>
              </w:rPr>
              <w:t>Sign</w:t>
            </w:r>
          </w:p>
        </w:tc>
        <w:tc>
          <w:tcPr>
            <w:tcW w:w="2369" w:type="dxa"/>
            <w:shd w:val="clear" w:color="auto" w:fill="1F3864"/>
            <w:tcMar>
              <w:top w:w="60" w:type="dxa"/>
              <w:left w:w="100" w:type="dxa"/>
              <w:bottom w:w="60" w:type="dxa"/>
              <w:right w:w="100" w:type="dxa"/>
            </w:tcMar>
            <w:vAlign w:val="center"/>
          </w:tcPr>
          <w:p w14:paraId="59FDB1B8" w14:textId="77777777" w:rsidR="005068D4" w:rsidRDefault="003D64B3">
            <w:pPr>
              <w:jc w:val="center"/>
            </w:pPr>
            <w:r>
              <w:rPr>
                <w:b/>
                <w:bCs/>
                <w:color w:val="FFFFFF"/>
                <w:sz w:val="19"/>
                <w:szCs w:val="19"/>
              </w:rPr>
              <w:t>Kept in bootstrap*</w:t>
            </w:r>
          </w:p>
        </w:tc>
        <w:tc>
          <w:tcPr>
            <w:tcW w:w="1896" w:type="dxa"/>
            <w:shd w:val="clear" w:color="auto" w:fill="1F3864"/>
            <w:tcMar>
              <w:top w:w="60" w:type="dxa"/>
              <w:left w:w="100" w:type="dxa"/>
              <w:bottom w:w="60" w:type="dxa"/>
              <w:right w:w="100" w:type="dxa"/>
            </w:tcMar>
            <w:vAlign w:val="center"/>
          </w:tcPr>
          <w:p w14:paraId="7497B9D4" w14:textId="77777777" w:rsidR="005068D4" w:rsidRDefault="003D64B3">
            <w:pPr>
              <w:jc w:val="center"/>
            </w:pPr>
            <w:r>
              <w:rPr>
                <w:b/>
                <w:bCs/>
                <w:color w:val="FFFFFF"/>
                <w:sz w:val="19"/>
                <w:szCs w:val="19"/>
              </w:rPr>
              <w:t>Sign-consistency*</w:t>
            </w:r>
          </w:p>
        </w:tc>
      </w:tr>
      <w:tr w:rsidR="005068D4" w14:paraId="147C6EC3" w14:textId="77777777">
        <w:tblPrEx>
          <w:tblCellMar>
            <w:top w:w="0" w:type="dxa"/>
            <w:bottom w:w="0" w:type="dxa"/>
          </w:tblCellMar>
        </w:tblPrEx>
        <w:tc>
          <w:tcPr>
            <w:tcW w:w="2369" w:type="dxa"/>
            <w:shd w:val="clear" w:color="auto" w:fill="F2F2F2"/>
            <w:tcMar>
              <w:top w:w="60" w:type="dxa"/>
              <w:left w:w="100" w:type="dxa"/>
              <w:bottom w:w="60" w:type="dxa"/>
              <w:right w:w="100" w:type="dxa"/>
            </w:tcMar>
            <w:vAlign w:val="center"/>
          </w:tcPr>
          <w:p w14:paraId="36295E0F" w14:textId="77777777" w:rsidR="005068D4" w:rsidRDefault="003D64B3">
            <w:pPr>
              <w:jc w:val="center"/>
            </w:pPr>
            <w:r>
              <w:rPr>
                <w:sz w:val="19"/>
                <w:szCs w:val="19"/>
              </w:rPr>
              <w:t>domain_score</w:t>
            </w:r>
          </w:p>
        </w:tc>
        <w:tc>
          <w:tcPr>
            <w:tcW w:w="1615" w:type="dxa"/>
            <w:shd w:val="clear" w:color="auto" w:fill="F2F2F2"/>
            <w:tcMar>
              <w:top w:w="60" w:type="dxa"/>
              <w:left w:w="100" w:type="dxa"/>
              <w:bottom w:w="60" w:type="dxa"/>
              <w:right w:w="100" w:type="dxa"/>
            </w:tcMar>
            <w:vAlign w:val="center"/>
          </w:tcPr>
          <w:p w14:paraId="6C0A347F" w14:textId="77777777" w:rsidR="005068D4" w:rsidRDefault="003D64B3">
            <w:pPr>
              <w:jc w:val="center"/>
            </w:pPr>
            <w:r>
              <w:rPr>
                <w:sz w:val="19"/>
                <w:szCs w:val="19"/>
              </w:rPr>
              <w:t>+1.019</w:t>
            </w:r>
          </w:p>
        </w:tc>
        <w:tc>
          <w:tcPr>
            <w:tcW w:w="1831" w:type="dxa"/>
            <w:shd w:val="clear" w:color="auto" w:fill="F2F2F2"/>
            <w:tcMar>
              <w:top w:w="60" w:type="dxa"/>
              <w:left w:w="100" w:type="dxa"/>
              <w:bottom w:w="60" w:type="dxa"/>
              <w:right w:w="100" w:type="dxa"/>
            </w:tcMar>
            <w:vAlign w:val="center"/>
          </w:tcPr>
          <w:p w14:paraId="5E8CDE2D" w14:textId="77777777" w:rsidR="005068D4" w:rsidRDefault="003D64B3">
            <w:pPr>
              <w:jc w:val="center"/>
            </w:pPr>
            <w:r>
              <w:rPr>
                <w:sz w:val="19"/>
                <w:szCs w:val="19"/>
              </w:rPr>
              <w:t>+</w:t>
            </w:r>
          </w:p>
        </w:tc>
        <w:tc>
          <w:tcPr>
            <w:tcW w:w="2369" w:type="dxa"/>
            <w:shd w:val="clear" w:color="auto" w:fill="F2F2F2"/>
            <w:tcMar>
              <w:top w:w="60" w:type="dxa"/>
              <w:left w:w="100" w:type="dxa"/>
              <w:bottom w:w="60" w:type="dxa"/>
              <w:right w:w="100" w:type="dxa"/>
            </w:tcMar>
            <w:vAlign w:val="center"/>
          </w:tcPr>
          <w:p w14:paraId="5D344FDE" w14:textId="77777777" w:rsidR="005068D4" w:rsidRDefault="003D64B3">
            <w:pPr>
              <w:jc w:val="center"/>
            </w:pPr>
            <w:r>
              <w:rPr>
                <w:sz w:val="19"/>
                <w:szCs w:val="19"/>
              </w:rPr>
              <w:t>100.0%</w:t>
            </w:r>
          </w:p>
        </w:tc>
        <w:tc>
          <w:tcPr>
            <w:tcW w:w="1896" w:type="dxa"/>
            <w:shd w:val="clear" w:color="auto" w:fill="F2F2F2"/>
            <w:tcMar>
              <w:top w:w="60" w:type="dxa"/>
              <w:left w:w="100" w:type="dxa"/>
              <w:bottom w:w="60" w:type="dxa"/>
              <w:right w:w="100" w:type="dxa"/>
            </w:tcMar>
            <w:vAlign w:val="center"/>
          </w:tcPr>
          <w:p w14:paraId="3AE8EA97" w14:textId="77777777" w:rsidR="005068D4" w:rsidRDefault="003D64B3">
            <w:pPr>
              <w:jc w:val="center"/>
            </w:pPr>
            <w:r>
              <w:rPr>
                <w:sz w:val="19"/>
                <w:szCs w:val="19"/>
              </w:rPr>
              <w:t>100% +</w:t>
            </w:r>
          </w:p>
        </w:tc>
      </w:tr>
      <w:tr w:rsidR="005068D4" w14:paraId="04B238E7" w14:textId="77777777">
        <w:tblPrEx>
          <w:tblCellMar>
            <w:top w:w="0" w:type="dxa"/>
            <w:bottom w:w="0" w:type="dxa"/>
          </w:tblCellMar>
        </w:tblPrEx>
        <w:tc>
          <w:tcPr>
            <w:tcW w:w="2369" w:type="dxa"/>
            <w:shd w:val="clear" w:color="auto" w:fill="FFFFFF"/>
            <w:tcMar>
              <w:top w:w="60" w:type="dxa"/>
              <w:left w:w="100" w:type="dxa"/>
              <w:bottom w:w="60" w:type="dxa"/>
              <w:right w:w="100" w:type="dxa"/>
            </w:tcMar>
            <w:vAlign w:val="center"/>
          </w:tcPr>
          <w:p w14:paraId="04B1E265" w14:textId="77777777" w:rsidR="005068D4" w:rsidRDefault="003D64B3">
            <w:pPr>
              <w:jc w:val="center"/>
            </w:pPr>
            <w:r>
              <w:rPr>
                <w:sz w:val="19"/>
                <w:szCs w:val="19"/>
              </w:rPr>
              <w:t>tld_score</w:t>
            </w:r>
          </w:p>
        </w:tc>
        <w:tc>
          <w:tcPr>
            <w:tcW w:w="1615" w:type="dxa"/>
            <w:shd w:val="clear" w:color="auto" w:fill="FFFFFF"/>
            <w:tcMar>
              <w:top w:w="60" w:type="dxa"/>
              <w:left w:w="100" w:type="dxa"/>
              <w:bottom w:w="60" w:type="dxa"/>
              <w:right w:w="100" w:type="dxa"/>
            </w:tcMar>
            <w:vAlign w:val="center"/>
          </w:tcPr>
          <w:p w14:paraId="3746EEF8" w14:textId="77777777" w:rsidR="005068D4" w:rsidRDefault="003D64B3">
            <w:pPr>
              <w:jc w:val="center"/>
            </w:pPr>
            <w:r>
              <w:rPr>
                <w:sz w:val="19"/>
                <w:szCs w:val="19"/>
              </w:rPr>
              <w:t>+0.425</w:t>
            </w:r>
          </w:p>
        </w:tc>
        <w:tc>
          <w:tcPr>
            <w:tcW w:w="1831" w:type="dxa"/>
            <w:shd w:val="clear" w:color="auto" w:fill="FFFFFF"/>
            <w:tcMar>
              <w:top w:w="60" w:type="dxa"/>
              <w:left w:w="100" w:type="dxa"/>
              <w:bottom w:w="60" w:type="dxa"/>
              <w:right w:w="100" w:type="dxa"/>
            </w:tcMar>
            <w:vAlign w:val="center"/>
          </w:tcPr>
          <w:p w14:paraId="374A755D" w14:textId="77777777" w:rsidR="005068D4" w:rsidRDefault="003D64B3">
            <w:pPr>
              <w:jc w:val="center"/>
            </w:pPr>
            <w:r>
              <w:rPr>
                <w:sz w:val="19"/>
                <w:szCs w:val="19"/>
              </w:rPr>
              <w:t>+</w:t>
            </w:r>
          </w:p>
        </w:tc>
        <w:tc>
          <w:tcPr>
            <w:tcW w:w="2369" w:type="dxa"/>
            <w:shd w:val="clear" w:color="auto" w:fill="FFFFFF"/>
            <w:tcMar>
              <w:top w:w="60" w:type="dxa"/>
              <w:left w:w="100" w:type="dxa"/>
              <w:bottom w:w="60" w:type="dxa"/>
              <w:right w:w="100" w:type="dxa"/>
            </w:tcMar>
            <w:vAlign w:val="center"/>
          </w:tcPr>
          <w:p w14:paraId="3E853F63" w14:textId="77777777" w:rsidR="005068D4" w:rsidRDefault="003D64B3">
            <w:pPr>
              <w:jc w:val="center"/>
            </w:pPr>
            <w:r>
              <w:rPr>
                <w:sz w:val="19"/>
                <w:szCs w:val="19"/>
              </w:rPr>
              <w:t>89.0%</w:t>
            </w:r>
          </w:p>
        </w:tc>
        <w:tc>
          <w:tcPr>
            <w:tcW w:w="1896" w:type="dxa"/>
            <w:shd w:val="clear" w:color="auto" w:fill="FFFFFF"/>
            <w:tcMar>
              <w:top w:w="60" w:type="dxa"/>
              <w:left w:w="100" w:type="dxa"/>
              <w:bottom w:w="60" w:type="dxa"/>
              <w:right w:w="100" w:type="dxa"/>
            </w:tcMar>
            <w:vAlign w:val="center"/>
          </w:tcPr>
          <w:p w14:paraId="18DD8133" w14:textId="77777777" w:rsidR="005068D4" w:rsidRDefault="003D64B3">
            <w:pPr>
              <w:jc w:val="center"/>
            </w:pPr>
            <w:r>
              <w:rPr>
                <w:sz w:val="19"/>
                <w:szCs w:val="19"/>
              </w:rPr>
              <w:t>100% +</w:t>
            </w:r>
          </w:p>
        </w:tc>
      </w:tr>
      <w:tr w:rsidR="005068D4" w14:paraId="42070D60" w14:textId="77777777">
        <w:tblPrEx>
          <w:tblCellMar>
            <w:top w:w="0" w:type="dxa"/>
            <w:bottom w:w="0" w:type="dxa"/>
          </w:tblCellMar>
        </w:tblPrEx>
        <w:tc>
          <w:tcPr>
            <w:tcW w:w="2369" w:type="dxa"/>
            <w:shd w:val="clear" w:color="auto" w:fill="F2F2F2"/>
            <w:tcMar>
              <w:top w:w="60" w:type="dxa"/>
              <w:left w:w="100" w:type="dxa"/>
              <w:bottom w:w="60" w:type="dxa"/>
              <w:right w:w="100" w:type="dxa"/>
            </w:tcMar>
            <w:vAlign w:val="center"/>
          </w:tcPr>
          <w:p w14:paraId="443DB24F" w14:textId="77777777" w:rsidR="005068D4" w:rsidRDefault="003D64B3">
            <w:pPr>
              <w:jc w:val="center"/>
            </w:pPr>
            <w:r>
              <w:rPr>
                <w:sz w:val="19"/>
                <w:szCs w:val="19"/>
              </w:rPr>
              <w:t>path_comments</w:t>
            </w:r>
          </w:p>
        </w:tc>
        <w:tc>
          <w:tcPr>
            <w:tcW w:w="1615" w:type="dxa"/>
            <w:shd w:val="clear" w:color="auto" w:fill="F2F2F2"/>
            <w:tcMar>
              <w:top w:w="60" w:type="dxa"/>
              <w:left w:w="100" w:type="dxa"/>
              <w:bottom w:w="60" w:type="dxa"/>
              <w:right w:w="100" w:type="dxa"/>
            </w:tcMar>
            <w:vAlign w:val="center"/>
          </w:tcPr>
          <w:p w14:paraId="0DEE69FA" w14:textId="77777777" w:rsidR="005068D4" w:rsidRDefault="003D64B3">
            <w:pPr>
              <w:jc w:val="center"/>
            </w:pPr>
            <w:r>
              <w:rPr>
                <w:sz w:val="19"/>
                <w:szCs w:val="19"/>
              </w:rPr>
              <w:t>+0.115</w:t>
            </w:r>
          </w:p>
        </w:tc>
        <w:tc>
          <w:tcPr>
            <w:tcW w:w="1831" w:type="dxa"/>
            <w:shd w:val="clear" w:color="auto" w:fill="F2F2F2"/>
            <w:tcMar>
              <w:top w:w="60" w:type="dxa"/>
              <w:left w:w="100" w:type="dxa"/>
              <w:bottom w:w="60" w:type="dxa"/>
              <w:right w:w="100" w:type="dxa"/>
            </w:tcMar>
            <w:vAlign w:val="center"/>
          </w:tcPr>
          <w:p w14:paraId="0E64572B" w14:textId="77777777" w:rsidR="005068D4" w:rsidRDefault="003D64B3">
            <w:pPr>
              <w:jc w:val="center"/>
            </w:pPr>
            <w:r>
              <w:rPr>
                <w:sz w:val="19"/>
                <w:szCs w:val="19"/>
              </w:rPr>
              <w:t>+</w:t>
            </w:r>
          </w:p>
        </w:tc>
        <w:tc>
          <w:tcPr>
            <w:tcW w:w="2369" w:type="dxa"/>
            <w:shd w:val="clear" w:color="auto" w:fill="F2F2F2"/>
            <w:tcMar>
              <w:top w:w="60" w:type="dxa"/>
              <w:left w:w="100" w:type="dxa"/>
              <w:bottom w:w="60" w:type="dxa"/>
              <w:right w:w="100" w:type="dxa"/>
            </w:tcMar>
            <w:vAlign w:val="center"/>
          </w:tcPr>
          <w:p w14:paraId="3A70BAB4" w14:textId="77777777" w:rsidR="005068D4" w:rsidRDefault="003D64B3">
            <w:pPr>
              <w:jc w:val="center"/>
            </w:pPr>
            <w:r>
              <w:rPr>
                <w:sz w:val="19"/>
                <w:szCs w:val="19"/>
              </w:rPr>
              <w:t>45.2%</w:t>
            </w:r>
          </w:p>
        </w:tc>
        <w:tc>
          <w:tcPr>
            <w:tcW w:w="1896" w:type="dxa"/>
            <w:shd w:val="clear" w:color="auto" w:fill="F2F2F2"/>
            <w:tcMar>
              <w:top w:w="60" w:type="dxa"/>
              <w:left w:w="100" w:type="dxa"/>
              <w:bottom w:w="60" w:type="dxa"/>
              <w:right w:w="100" w:type="dxa"/>
            </w:tcMar>
            <w:vAlign w:val="center"/>
          </w:tcPr>
          <w:p w14:paraId="11B75A12" w14:textId="77777777" w:rsidR="005068D4" w:rsidRDefault="003D64B3">
            <w:pPr>
              <w:jc w:val="center"/>
            </w:pPr>
            <w:r>
              <w:rPr>
                <w:sz w:val="19"/>
                <w:szCs w:val="19"/>
              </w:rPr>
              <w:t>94% +</w:t>
            </w:r>
          </w:p>
        </w:tc>
      </w:tr>
      <w:tr w:rsidR="005068D4" w14:paraId="46990AB4" w14:textId="77777777">
        <w:tblPrEx>
          <w:tblCellMar>
            <w:top w:w="0" w:type="dxa"/>
            <w:bottom w:w="0" w:type="dxa"/>
          </w:tblCellMar>
        </w:tblPrEx>
        <w:tc>
          <w:tcPr>
            <w:tcW w:w="2369" w:type="dxa"/>
            <w:shd w:val="clear" w:color="auto" w:fill="FFFFFF"/>
            <w:tcMar>
              <w:top w:w="60" w:type="dxa"/>
              <w:left w:w="100" w:type="dxa"/>
              <w:bottom w:w="60" w:type="dxa"/>
              <w:right w:w="100" w:type="dxa"/>
            </w:tcMar>
            <w:vAlign w:val="center"/>
          </w:tcPr>
          <w:p w14:paraId="2398F57E" w14:textId="77777777" w:rsidR="005068D4" w:rsidRDefault="003D64B3">
            <w:pPr>
              <w:jc w:val="center"/>
            </w:pPr>
            <w:r>
              <w:rPr>
                <w:sz w:val="19"/>
                <w:szCs w:val="19"/>
              </w:rPr>
              <w:t>thin_content</w:t>
            </w:r>
          </w:p>
        </w:tc>
        <w:tc>
          <w:tcPr>
            <w:tcW w:w="1615" w:type="dxa"/>
            <w:shd w:val="clear" w:color="auto" w:fill="FFFFFF"/>
            <w:tcMar>
              <w:top w:w="60" w:type="dxa"/>
              <w:left w:w="100" w:type="dxa"/>
              <w:bottom w:w="60" w:type="dxa"/>
              <w:right w:w="100" w:type="dxa"/>
            </w:tcMar>
            <w:vAlign w:val="center"/>
          </w:tcPr>
          <w:p w14:paraId="3E0E9F8A" w14:textId="77777777" w:rsidR="005068D4" w:rsidRDefault="003D64B3">
            <w:pPr>
              <w:jc w:val="center"/>
            </w:pPr>
            <w:r>
              <w:rPr>
                <w:sz w:val="19"/>
                <w:szCs w:val="19"/>
              </w:rPr>
              <w:t>−</w:t>
            </w:r>
            <w:r>
              <w:rPr>
                <w:sz w:val="19"/>
                <w:szCs w:val="19"/>
              </w:rPr>
              <w:t>0.133</w:t>
            </w:r>
          </w:p>
        </w:tc>
        <w:tc>
          <w:tcPr>
            <w:tcW w:w="1831" w:type="dxa"/>
            <w:shd w:val="clear" w:color="auto" w:fill="FFFFFF"/>
            <w:tcMar>
              <w:top w:w="60" w:type="dxa"/>
              <w:left w:w="100" w:type="dxa"/>
              <w:bottom w:w="60" w:type="dxa"/>
              <w:right w:w="100" w:type="dxa"/>
            </w:tcMar>
            <w:vAlign w:val="center"/>
          </w:tcPr>
          <w:p w14:paraId="520B56E2" w14:textId="77777777" w:rsidR="005068D4" w:rsidRDefault="003D64B3">
            <w:pPr>
              <w:jc w:val="center"/>
            </w:pPr>
            <w:r>
              <w:rPr>
                <w:sz w:val="19"/>
                <w:szCs w:val="19"/>
              </w:rPr>
              <w:t>−</w:t>
            </w:r>
          </w:p>
        </w:tc>
        <w:tc>
          <w:tcPr>
            <w:tcW w:w="2369" w:type="dxa"/>
            <w:shd w:val="clear" w:color="auto" w:fill="FFFFFF"/>
            <w:tcMar>
              <w:top w:w="60" w:type="dxa"/>
              <w:left w:w="100" w:type="dxa"/>
              <w:bottom w:w="60" w:type="dxa"/>
              <w:right w:w="100" w:type="dxa"/>
            </w:tcMar>
            <w:vAlign w:val="center"/>
          </w:tcPr>
          <w:p w14:paraId="18110F92" w14:textId="77777777" w:rsidR="005068D4" w:rsidRDefault="003D64B3">
            <w:pPr>
              <w:jc w:val="center"/>
            </w:pPr>
            <w:r>
              <w:rPr>
                <w:sz w:val="19"/>
                <w:szCs w:val="19"/>
              </w:rPr>
              <w:t>72.0%</w:t>
            </w:r>
          </w:p>
        </w:tc>
        <w:tc>
          <w:tcPr>
            <w:tcW w:w="1896" w:type="dxa"/>
            <w:shd w:val="clear" w:color="auto" w:fill="FFFFFF"/>
            <w:tcMar>
              <w:top w:w="60" w:type="dxa"/>
              <w:left w:w="100" w:type="dxa"/>
              <w:bottom w:w="60" w:type="dxa"/>
              <w:right w:w="100" w:type="dxa"/>
            </w:tcMar>
            <w:vAlign w:val="center"/>
          </w:tcPr>
          <w:p w14:paraId="618F03FE" w14:textId="77777777" w:rsidR="005068D4" w:rsidRDefault="003D64B3">
            <w:pPr>
              <w:jc w:val="center"/>
            </w:pPr>
            <w:r>
              <w:rPr>
                <w:sz w:val="19"/>
                <w:szCs w:val="19"/>
              </w:rPr>
              <w:t>99% −</w:t>
            </w:r>
          </w:p>
        </w:tc>
      </w:tr>
      <w:tr w:rsidR="005068D4" w14:paraId="1F69180E" w14:textId="77777777">
        <w:tblPrEx>
          <w:tblCellMar>
            <w:top w:w="0" w:type="dxa"/>
            <w:bottom w:w="0" w:type="dxa"/>
          </w:tblCellMar>
        </w:tblPrEx>
        <w:tc>
          <w:tcPr>
            <w:tcW w:w="2369" w:type="dxa"/>
            <w:shd w:val="clear" w:color="auto" w:fill="F2F2F2"/>
            <w:tcMar>
              <w:top w:w="60" w:type="dxa"/>
              <w:left w:w="100" w:type="dxa"/>
              <w:bottom w:w="60" w:type="dxa"/>
              <w:right w:w="100" w:type="dxa"/>
            </w:tcMar>
            <w:vAlign w:val="center"/>
          </w:tcPr>
          <w:p w14:paraId="783C76A6" w14:textId="77777777" w:rsidR="005068D4" w:rsidRDefault="003D64B3">
            <w:pPr>
              <w:jc w:val="center"/>
            </w:pPr>
            <w:r>
              <w:rPr>
                <w:sz w:val="19"/>
                <w:szCs w:val="19"/>
              </w:rPr>
              <w:t>path_sponsored</w:t>
            </w:r>
          </w:p>
        </w:tc>
        <w:tc>
          <w:tcPr>
            <w:tcW w:w="1615" w:type="dxa"/>
            <w:shd w:val="clear" w:color="auto" w:fill="F2F2F2"/>
            <w:tcMar>
              <w:top w:w="60" w:type="dxa"/>
              <w:left w:w="100" w:type="dxa"/>
              <w:bottom w:w="60" w:type="dxa"/>
              <w:right w:w="100" w:type="dxa"/>
            </w:tcMar>
            <w:vAlign w:val="center"/>
          </w:tcPr>
          <w:p w14:paraId="42A0C7A6" w14:textId="77777777" w:rsidR="005068D4" w:rsidRDefault="003D64B3">
            <w:pPr>
              <w:jc w:val="center"/>
            </w:pPr>
            <w:r>
              <w:rPr>
                <w:sz w:val="19"/>
                <w:szCs w:val="19"/>
              </w:rPr>
              <w:t>−</w:t>
            </w:r>
            <w:r>
              <w:rPr>
                <w:sz w:val="19"/>
                <w:szCs w:val="19"/>
              </w:rPr>
              <w:t>0.028</w:t>
            </w:r>
          </w:p>
        </w:tc>
        <w:tc>
          <w:tcPr>
            <w:tcW w:w="1831" w:type="dxa"/>
            <w:shd w:val="clear" w:color="auto" w:fill="F2F2F2"/>
            <w:tcMar>
              <w:top w:w="60" w:type="dxa"/>
              <w:left w:w="100" w:type="dxa"/>
              <w:bottom w:w="60" w:type="dxa"/>
              <w:right w:w="100" w:type="dxa"/>
            </w:tcMar>
            <w:vAlign w:val="center"/>
          </w:tcPr>
          <w:p w14:paraId="2D180332" w14:textId="77777777" w:rsidR="005068D4" w:rsidRDefault="003D64B3">
            <w:pPr>
              <w:jc w:val="center"/>
            </w:pPr>
            <w:r>
              <w:rPr>
                <w:sz w:val="19"/>
                <w:szCs w:val="19"/>
              </w:rPr>
              <w:t>−</w:t>
            </w:r>
          </w:p>
        </w:tc>
        <w:tc>
          <w:tcPr>
            <w:tcW w:w="2369" w:type="dxa"/>
            <w:shd w:val="clear" w:color="auto" w:fill="F2F2F2"/>
            <w:tcMar>
              <w:top w:w="60" w:type="dxa"/>
              <w:left w:w="100" w:type="dxa"/>
              <w:bottom w:w="60" w:type="dxa"/>
              <w:right w:w="100" w:type="dxa"/>
            </w:tcMar>
            <w:vAlign w:val="center"/>
          </w:tcPr>
          <w:p w14:paraId="0D3F717B" w14:textId="77777777" w:rsidR="005068D4" w:rsidRDefault="003D64B3">
            <w:pPr>
              <w:jc w:val="center"/>
            </w:pPr>
            <w:r>
              <w:rPr>
                <w:sz w:val="19"/>
                <w:szCs w:val="19"/>
              </w:rPr>
              <w:t>58.6%</w:t>
            </w:r>
          </w:p>
        </w:tc>
        <w:tc>
          <w:tcPr>
            <w:tcW w:w="1896" w:type="dxa"/>
            <w:shd w:val="clear" w:color="auto" w:fill="F2F2F2"/>
            <w:tcMar>
              <w:top w:w="60" w:type="dxa"/>
              <w:left w:w="100" w:type="dxa"/>
              <w:bottom w:w="60" w:type="dxa"/>
              <w:right w:w="100" w:type="dxa"/>
            </w:tcMar>
            <w:vAlign w:val="center"/>
          </w:tcPr>
          <w:p w14:paraId="55F126C4" w14:textId="77777777" w:rsidR="005068D4" w:rsidRDefault="003D64B3">
            <w:pPr>
              <w:jc w:val="center"/>
            </w:pPr>
            <w:r>
              <w:rPr>
                <w:sz w:val="19"/>
                <w:szCs w:val="19"/>
              </w:rPr>
              <w:t>76% −</w:t>
            </w:r>
          </w:p>
        </w:tc>
      </w:tr>
      <w:tr w:rsidR="005068D4" w14:paraId="22EB0B62" w14:textId="77777777">
        <w:tblPrEx>
          <w:tblCellMar>
            <w:top w:w="0" w:type="dxa"/>
            <w:bottom w:w="0" w:type="dxa"/>
          </w:tblCellMar>
        </w:tblPrEx>
        <w:tc>
          <w:tcPr>
            <w:tcW w:w="2369" w:type="dxa"/>
            <w:shd w:val="clear" w:color="auto" w:fill="FFFFFF"/>
            <w:tcMar>
              <w:top w:w="60" w:type="dxa"/>
              <w:left w:w="100" w:type="dxa"/>
              <w:bottom w:w="60" w:type="dxa"/>
              <w:right w:w="100" w:type="dxa"/>
            </w:tcMar>
            <w:vAlign w:val="center"/>
          </w:tcPr>
          <w:p w14:paraId="1DCC8550" w14:textId="77777777" w:rsidR="005068D4" w:rsidRDefault="003D64B3">
            <w:pPr>
              <w:jc w:val="center"/>
            </w:pPr>
            <w:r>
              <w:rPr>
                <w:sz w:val="19"/>
                <w:szCs w:val="19"/>
              </w:rPr>
              <w:t>has_dateline</w:t>
            </w:r>
          </w:p>
        </w:tc>
        <w:tc>
          <w:tcPr>
            <w:tcW w:w="1615" w:type="dxa"/>
            <w:shd w:val="clear" w:color="auto" w:fill="FFFFFF"/>
            <w:tcMar>
              <w:top w:w="60" w:type="dxa"/>
              <w:left w:w="100" w:type="dxa"/>
              <w:bottom w:w="60" w:type="dxa"/>
              <w:right w:w="100" w:type="dxa"/>
            </w:tcMar>
            <w:vAlign w:val="center"/>
          </w:tcPr>
          <w:p w14:paraId="4A2318B1" w14:textId="77777777" w:rsidR="005068D4" w:rsidRDefault="003D64B3">
            <w:pPr>
              <w:jc w:val="center"/>
            </w:pPr>
            <w:r>
              <w:rPr>
                <w:sz w:val="19"/>
                <w:szCs w:val="19"/>
              </w:rPr>
              <w:t>+0.023</w:t>
            </w:r>
          </w:p>
        </w:tc>
        <w:tc>
          <w:tcPr>
            <w:tcW w:w="1831" w:type="dxa"/>
            <w:shd w:val="clear" w:color="auto" w:fill="FFFFFF"/>
            <w:tcMar>
              <w:top w:w="60" w:type="dxa"/>
              <w:left w:w="100" w:type="dxa"/>
              <w:bottom w:w="60" w:type="dxa"/>
              <w:right w:w="100" w:type="dxa"/>
            </w:tcMar>
            <w:vAlign w:val="center"/>
          </w:tcPr>
          <w:p w14:paraId="3F7714D8" w14:textId="77777777" w:rsidR="005068D4" w:rsidRDefault="003D64B3">
            <w:pPr>
              <w:jc w:val="center"/>
            </w:pPr>
            <w:r>
              <w:rPr>
                <w:sz w:val="19"/>
                <w:szCs w:val="19"/>
              </w:rPr>
              <w:t>+</w:t>
            </w:r>
          </w:p>
        </w:tc>
        <w:tc>
          <w:tcPr>
            <w:tcW w:w="2369" w:type="dxa"/>
            <w:shd w:val="clear" w:color="auto" w:fill="FFFFFF"/>
            <w:tcMar>
              <w:top w:w="60" w:type="dxa"/>
              <w:left w:w="100" w:type="dxa"/>
              <w:bottom w:w="60" w:type="dxa"/>
              <w:right w:w="100" w:type="dxa"/>
            </w:tcMar>
            <w:vAlign w:val="center"/>
          </w:tcPr>
          <w:p w14:paraId="56677470" w14:textId="77777777" w:rsidR="005068D4" w:rsidRDefault="003D64B3">
            <w:pPr>
              <w:jc w:val="center"/>
            </w:pPr>
            <w:r>
              <w:rPr>
                <w:sz w:val="19"/>
                <w:szCs w:val="19"/>
              </w:rPr>
              <w:t>62.2%</w:t>
            </w:r>
          </w:p>
        </w:tc>
        <w:tc>
          <w:tcPr>
            <w:tcW w:w="1896" w:type="dxa"/>
            <w:shd w:val="clear" w:color="auto" w:fill="FFFFFF"/>
            <w:tcMar>
              <w:top w:w="60" w:type="dxa"/>
              <w:left w:w="100" w:type="dxa"/>
              <w:bottom w:w="60" w:type="dxa"/>
              <w:right w:w="100" w:type="dxa"/>
            </w:tcMar>
            <w:vAlign w:val="center"/>
          </w:tcPr>
          <w:p w14:paraId="59EAE1F3" w14:textId="77777777" w:rsidR="005068D4" w:rsidRDefault="003D64B3">
            <w:pPr>
              <w:jc w:val="center"/>
            </w:pPr>
            <w:r>
              <w:rPr>
                <w:sz w:val="19"/>
                <w:szCs w:val="19"/>
              </w:rPr>
              <w:t>100% +</w:t>
            </w:r>
          </w:p>
        </w:tc>
      </w:tr>
      <w:tr w:rsidR="005068D4" w14:paraId="605F5956" w14:textId="77777777">
        <w:tblPrEx>
          <w:tblCellMar>
            <w:top w:w="0" w:type="dxa"/>
            <w:bottom w:w="0" w:type="dxa"/>
          </w:tblCellMar>
        </w:tblPrEx>
        <w:tc>
          <w:tcPr>
            <w:tcW w:w="2369" w:type="dxa"/>
            <w:shd w:val="clear" w:color="auto" w:fill="F2F2F2"/>
            <w:tcMar>
              <w:top w:w="60" w:type="dxa"/>
              <w:left w:w="100" w:type="dxa"/>
              <w:bottom w:w="60" w:type="dxa"/>
              <w:right w:w="100" w:type="dxa"/>
            </w:tcMar>
            <w:vAlign w:val="center"/>
          </w:tcPr>
          <w:p w14:paraId="2E207BDB" w14:textId="77777777" w:rsidR="005068D4" w:rsidRDefault="003D64B3">
            <w:pPr>
              <w:jc w:val="center"/>
            </w:pPr>
            <w:r>
              <w:rPr>
                <w:sz w:val="19"/>
                <w:szCs w:val="19"/>
              </w:rPr>
              <w:t>doi_present</w:t>
            </w:r>
          </w:p>
        </w:tc>
        <w:tc>
          <w:tcPr>
            <w:tcW w:w="1615" w:type="dxa"/>
            <w:shd w:val="clear" w:color="auto" w:fill="F2F2F2"/>
            <w:tcMar>
              <w:top w:w="60" w:type="dxa"/>
              <w:left w:w="100" w:type="dxa"/>
              <w:bottom w:w="60" w:type="dxa"/>
              <w:right w:w="100" w:type="dxa"/>
            </w:tcMar>
            <w:vAlign w:val="center"/>
          </w:tcPr>
          <w:p w14:paraId="2F3C3E73" w14:textId="77777777" w:rsidR="005068D4" w:rsidRDefault="003D64B3">
            <w:pPr>
              <w:jc w:val="center"/>
            </w:pPr>
            <w:r>
              <w:rPr>
                <w:sz w:val="19"/>
                <w:szCs w:val="19"/>
              </w:rPr>
              <w:t>+0.008</w:t>
            </w:r>
          </w:p>
        </w:tc>
        <w:tc>
          <w:tcPr>
            <w:tcW w:w="1831" w:type="dxa"/>
            <w:shd w:val="clear" w:color="auto" w:fill="F2F2F2"/>
            <w:tcMar>
              <w:top w:w="60" w:type="dxa"/>
              <w:left w:w="100" w:type="dxa"/>
              <w:bottom w:w="60" w:type="dxa"/>
              <w:right w:w="100" w:type="dxa"/>
            </w:tcMar>
            <w:vAlign w:val="center"/>
          </w:tcPr>
          <w:p w14:paraId="35349CF7" w14:textId="77777777" w:rsidR="005068D4" w:rsidRDefault="003D64B3">
            <w:pPr>
              <w:jc w:val="center"/>
            </w:pPr>
            <w:r>
              <w:rPr>
                <w:sz w:val="19"/>
                <w:szCs w:val="19"/>
              </w:rPr>
              <w:t>+</w:t>
            </w:r>
          </w:p>
        </w:tc>
        <w:tc>
          <w:tcPr>
            <w:tcW w:w="2369" w:type="dxa"/>
            <w:shd w:val="clear" w:color="auto" w:fill="F2F2F2"/>
            <w:tcMar>
              <w:top w:w="60" w:type="dxa"/>
              <w:left w:w="100" w:type="dxa"/>
              <w:bottom w:w="60" w:type="dxa"/>
              <w:right w:w="100" w:type="dxa"/>
            </w:tcMar>
            <w:vAlign w:val="center"/>
          </w:tcPr>
          <w:p w14:paraId="3E768BBE" w14:textId="77777777" w:rsidR="005068D4" w:rsidRDefault="003D64B3">
            <w:pPr>
              <w:jc w:val="center"/>
            </w:pPr>
            <w:r>
              <w:rPr>
                <w:sz w:val="19"/>
                <w:szCs w:val="19"/>
              </w:rPr>
              <w:t>59.2%</w:t>
            </w:r>
          </w:p>
        </w:tc>
        <w:tc>
          <w:tcPr>
            <w:tcW w:w="1896" w:type="dxa"/>
            <w:shd w:val="clear" w:color="auto" w:fill="F2F2F2"/>
            <w:tcMar>
              <w:top w:w="60" w:type="dxa"/>
              <w:left w:w="100" w:type="dxa"/>
              <w:bottom w:w="60" w:type="dxa"/>
              <w:right w:w="100" w:type="dxa"/>
            </w:tcMar>
            <w:vAlign w:val="center"/>
          </w:tcPr>
          <w:p w14:paraId="64DBD3F5" w14:textId="77777777" w:rsidR="005068D4" w:rsidRDefault="003D64B3">
            <w:pPr>
              <w:jc w:val="center"/>
            </w:pPr>
            <w:r>
              <w:rPr>
                <w:sz w:val="19"/>
                <w:szCs w:val="19"/>
              </w:rPr>
              <w:t>70% +</w:t>
            </w:r>
          </w:p>
        </w:tc>
      </w:tr>
      <w:tr w:rsidR="005068D4" w14:paraId="7EF28161" w14:textId="77777777">
        <w:tblPrEx>
          <w:tblCellMar>
            <w:top w:w="0" w:type="dxa"/>
            <w:bottom w:w="0" w:type="dxa"/>
          </w:tblCellMar>
        </w:tblPrEx>
        <w:tc>
          <w:tcPr>
            <w:tcW w:w="2369" w:type="dxa"/>
            <w:shd w:val="clear" w:color="auto" w:fill="FFFFFF"/>
            <w:tcMar>
              <w:top w:w="60" w:type="dxa"/>
              <w:left w:w="100" w:type="dxa"/>
              <w:bottom w:w="60" w:type="dxa"/>
              <w:right w:w="100" w:type="dxa"/>
            </w:tcMar>
            <w:vAlign w:val="center"/>
          </w:tcPr>
          <w:p w14:paraId="44F31155" w14:textId="77777777" w:rsidR="005068D4" w:rsidRDefault="003D64B3">
            <w:pPr>
              <w:jc w:val="center"/>
            </w:pPr>
            <w:r>
              <w:rPr>
                <w:sz w:val="19"/>
                <w:szCs w:val="19"/>
              </w:rPr>
              <w:t>has_citations</w:t>
            </w:r>
          </w:p>
        </w:tc>
        <w:tc>
          <w:tcPr>
            <w:tcW w:w="1615" w:type="dxa"/>
            <w:shd w:val="clear" w:color="auto" w:fill="FFFFFF"/>
            <w:tcMar>
              <w:top w:w="60" w:type="dxa"/>
              <w:left w:w="100" w:type="dxa"/>
              <w:bottom w:w="60" w:type="dxa"/>
              <w:right w:w="100" w:type="dxa"/>
            </w:tcMar>
            <w:vAlign w:val="center"/>
          </w:tcPr>
          <w:p w14:paraId="3BECC298" w14:textId="77777777" w:rsidR="005068D4" w:rsidRDefault="003D64B3">
            <w:pPr>
              <w:jc w:val="center"/>
            </w:pPr>
            <w:r>
              <w:rPr>
                <w:sz w:val="19"/>
                <w:szCs w:val="19"/>
              </w:rPr>
              <w:t>−</w:t>
            </w:r>
            <w:r>
              <w:rPr>
                <w:sz w:val="19"/>
                <w:szCs w:val="19"/>
              </w:rPr>
              <w:t>0.004</w:t>
            </w:r>
          </w:p>
        </w:tc>
        <w:tc>
          <w:tcPr>
            <w:tcW w:w="1831" w:type="dxa"/>
            <w:shd w:val="clear" w:color="auto" w:fill="FFFFFF"/>
            <w:tcMar>
              <w:top w:w="60" w:type="dxa"/>
              <w:left w:w="100" w:type="dxa"/>
              <w:bottom w:w="60" w:type="dxa"/>
              <w:right w:w="100" w:type="dxa"/>
            </w:tcMar>
            <w:vAlign w:val="center"/>
          </w:tcPr>
          <w:p w14:paraId="04F21D76" w14:textId="77777777" w:rsidR="005068D4" w:rsidRDefault="003D64B3">
            <w:pPr>
              <w:jc w:val="center"/>
            </w:pPr>
            <w:r>
              <w:rPr>
                <w:sz w:val="19"/>
                <w:szCs w:val="19"/>
              </w:rPr>
              <w:t>−</w:t>
            </w:r>
          </w:p>
        </w:tc>
        <w:tc>
          <w:tcPr>
            <w:tcW w:w="2369" w:type="dxa"/>
            <w:shd w:val="clear" w:color="auto" w:fill="FFFFFF"/>
            <w:tcMar>
              <w:top w:w="60" w:type="dxa"/>
              <w:left w:w="100" w:type="dxa"/>
              <w:bottom w:w="60" w:type="dxa"/>
              <w:right w:w="100" w:type="dxa"/>
            </w:tcMar>
            <w:vAlign w:val="center"/>
          </w:tcPr>
          <w:p w14:paraId="5760DBFB" w14:textId="77777777" w:rsidR="005068D4" w:rsidRDefault="003D64B3">
            <w:pPr>
              <w:jc w:val="center"/>
            </w:pPr>
            <w:r>
              <w:rPr>
                <w:sz w:val="19"/>
                <w:szCs w:val="19"/>
              </w:rPr>
              <w:t>71.0%</w:t>
            </w:r>
          </w:p>
        </w:tc>
        <w:tc>
          <w:tcPr>
            <w:tcW w:w="1896" w:type="dxa"/>
            <w:shd w:val="clear" w:color="auto" w:fill="FFFFFF"/>
            <w:tcMar>
              <w:top w:w="60" w:type="dxa"/>
              <w:left w:w="100" w:type="dxa"/>
              <w:bottom w:w="60" w:type="dxa"/>
              <w:right w:w="100" w:type="dxa"/>
            </w:tcMar>
            <w:vAlign w:val="center"/>
          </w:tcPr>
          <w:p w14:paraId="39E41B27" w14:textId="77777777" w:rsidR="005068D4" w:rsidRDefault="003D64B3">
            <w:pPr>
              <w:jc w:val="center"/>
            </w:pPr>
            <w:r>
              <w:rPr>
                <w:sz w:val="19"/>
                <w:szCs w:val="19"/>
              </w:rPr>
              <w:t>74% −</w:t>
            </w:r>
          </w:p>
        </w:tc>
      </w:tr>
    </w:tbl>
    <w:p w14:paraId="385A5AC1" w14:textId="77777777" w:rsidR="005068D4" w:rsidRDefault="003D64B3">
      <w:pPr>
        <w:spacing w:before="60" w:after="240"/>
      </w:pPr>
      <w:r>
        <w:rPr>
          <w:i/>
          <w:iCs/>
          <w:color w:val="595959"/>
          <w:sz w:val="19"/>
          <w:szCs w:val="19"/>
        </w:rPr>
        <w:t xml:space="preserve">Table 3. Features the Lasso kept, coefficient (intercept = −0.061), and bootstrap-based stability diagnostics. *Computed from the 500-resample bootstrap ensemble described in Section 5.4: the fraction of resamples that kept the feature nonzero, and, among those, the fraction that agreed on its sign. domain_score, tld_score, and has_dateline are stable in both frequency and sign; path_comments, thin_content, path_sponsored, and has_citations are somewhat less frequently kept but agree on sign when they are; </w:t>
      </w:r>
      <w:r>
        <w:rPr>
          <w:i/>
          <w:iCs/>
          <w:color w:val="595959"/>
          <w:sz w:val="19"/>
          <w:szCs w:val="19"/>
        </w:rPr>
        <w:t>doi_present is the least trustworthy of the eight, appearing in only 59% of resamples and disagreeing on its own sign 30% of the time — its coefficient here should be read as weak, noisy evidence, not a settled finding.</w:t>
      </w:r>
    </w:p>
    <w:p w14:paraId="7D5862F8" w14:textId="77777777" w:rsidR="005068D4" w:rsidRDefault="003D64B3">
      <w:pPr>
        <w:spacing w:after="140"/>
      </w:pPr>
      <w:r>
        <w:t xml:space="preserve">Thirteen features were dropped entirely, including several the design of Stage 1 was built specifically to add — most notably openalex_preprint, retracted, and citation_count_log all failed to survive the single point-estimate Lasso fit </w:t>
      </w:r>
      <w:r>
        <w:lastRenderedPageBreak/>
        <w:t>(though Section 5.4's bootstrap shows retracted and citation_count_log do appear, just not stably; see below). One plausible explanation, discussed further in Section 6.2, is that with only 24–27 labelled examples and a small number of DOI-bearing URLs in the set, there is simply too little data for the model to confidently attribute variance to scholarly-metadata features specifically, even where those features are conceptually sound.</w:t>
      </w:r>
    </w:p>
    <w:p w14:paraId="42D9C186" w14:textId="77777777" w:rsidR="005068D4" w:rsidRDefault="003D64B3">
      <w:pPr>
        <w:pStyle w:val="Heading2"/>
      </w:pPr>
      <w:r>
        <w:t>5.4 Stage 4 detail: bootstrap stability and interval width</w:t>
      </w:r>
    </w:p>
    <w:p w14:paraId="36E20E38" w14:textId="77777777" w:rsidR="005068D4" w:rsidRDefault="003D64B3">
      <w:pPr>
        <w:spacing w:after="140"/>
      </w:pPr>
      <w:r>
        <w:t>bootstrap_uncertainty.py's 500 resamples give two results beyond the point estimate. First, interval width behaves as designed: scoring https://www.nature.com/articles/example — an exact DOMAIN_SCORES match — produced a 90% interval of width 0.12 around its point estimate, while an unfamiliar, fabricated domain produced a wider interval of 0.18, confirming that the interval narrows for domains the training data actually constrains and widens for ones it does not, without any URL-specific tuning. Second, the</w:t>
      </w:r>
      <w:r>
        <w:t xml:space="preserve"> per-resample feature-selection counts in Table 3 (and the two additional features below) surface a limitation Stage 2's single fit cannot: retracted was kept nonzero in only 28.2% of resamples, and even then agreed on a negative sign only 65% of the time — a far weaker result than its conceptual importance would suggest. citation_count_log fared similarly (kept in 26.2% of resamples, though sign-consistent when kept). Both are discussed in Section 6.2 as a direct consequence of how rarely a retracted or hi</w:t>
      </w:r>
      <w:r>
        <w:t>ghly-cited work appears in a training set this size, not as evidence the underlying signal is unsound.</w:t>
      </w:r>
    </w:p>
    <w:p w14:paraId="19483A56" w14:textId="77777777" w:rsidR="005068D4" w:rsidRDefault="003D64B3">
      <w:pPr>
        <w:pStyle w:val="Heading2"/>
      </w:pPr>
      <w:r>
        <w:t>5.5 Stage 3 detail: calibration measured, and its cost</w:t>
      </w:r>
    </w:p>
    <w:p w14:paraId="02F2AD5E" w14:textId="77777777" w:rsidR="005068D4" w:rsidRDefault="003D64B3">
      <w:pPr>
        <w:spacing w:after="140"/>
      </w:pPr>
      <w:r>
        <w:t>Table 4 reports calibration.py's output, run twice — once by the student on their own machine with real network access, confirming the earlier finding independently. Both runs agree, and the result is not the trade-off a first read of the calibration literature might predict: Platt scaling does not improve the binary calibration metrics at the expense of accuracy — it makes all three metrics worse. Brier score, Expected Calibration Error, and mean absolute error against the original continuous labels all in</w:t>
      </w:r>
      <w:r>
        <w:t>crease after calibration is applied.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8"/>
        <w:gridCol w:w="2294"/>
        <w:gridCol w:w="2294"/>
        <w:gridCol w:w="2154"/>
      </w:tblGrid>
      <w:tr w:rsidR="005068D4" w14:paraId="783157EC" w14:textId="77777777">
        <w:tblPrEx>
          <w:tblCellMar>
            <w:top w:w="0" w:type="dxa"/>
            <w:bottom w:w="0" w:type="dxa"/>
          </w:tblCellMar>
        </w:tblPrEx>
        <w:trPr>
          <w:tblHeader/>
        </w:trPr>
        <w:tc>
          <w:tcPr>
            <w:tcW w:w="3338" w:type="dxa"/>
            <w:shd w:val="clear" w:color="auto" w:fill="1F3864"/>
            <w:tcMar>
              <w:top w:w="60" w:type="dxa"/>
              <w:left w:w="100" w:type="dxa"/>
              <w:bottom w:w="60" w:type="dxa"/>
              <w:right w:w="100" w:type="dxa"/>
            </w:tcMar>
            <w:vAlign w:val="center"/>
          </w:tcPr>
          <w:p w14:paraId="32F1A480" w14:textId="77777777" w:rsidR="005068D4" w:rsidRDefault="003D64B3">
            <w:pPr>
              <w:jc w:val="center"/>
            </w:pPr>
            <w:r>
              <w:rPr>
                <w:b/>
                <w:bCs/>
                <w:color w:val="FFFFFF"/>
                <w:sz w:val="19"/>
                <w:szCs w:val="19"/>
              </w:rPr>
              <w:t>Metric</w:t>
            </w:r>
          </w:p>
        </w:tc>
        <w:tc>
          <w:tcPr>
            <w:tcW w:w="2294" w:type="dxa"/>
            <w:shd w:val="clear" w:color="auto" w:fill="1F3864"/>
            <w:tcMar>
              <w:top w:w="60" w:type="dxa"/>
              <w:left w:w="100" w:type="dxa"/>
              <w:bottom w:w="60" w:type="dxa"/>
              <w:right w:w="100" w:type="dxa"/>
            </w:tcMar>
            <w:vAlign w:val="center"/>
          </w:tcPr>
          <w:p w14:paraId="7B408290" w14:textId="77777777" w:rsidR="005068D4" w:rsidRDefault="003D64B3">
            <w:pPr>
              <w:jc w:val="center"/>
            </w:pPr>
            <w:r>
              <w:rPr>
                <w:b/>
                <w:bCs/>
                <w:color w:val="FFFFFF"/>
                <w:sz w:val="19"/>
                <w:szCs w:val="19"/>
              </w:rPr>
              <w:t>Raw score</w:t>
            </w:r>
          </w:p>
        </w:tc>
        <w:tc>
          <w:tcPr>
            <w:tcW w:w="2294" w:type="dxa"/>
            <w:shd w:val="clear" w:color="auto" w:fill="1F3864"/>
            <w:tcMar>
              <w:top w:w="60" w:type="dxa"/>
              <w:left w:w="100" w:type="dxa"/>
              <w:bottom w:w="60" w:type="dxa"/>
              <w:right w:w="100" w:type="dxa"/>
            </w:tcMar>
            <w:vAlign w:val="center"/>
          </w:tcPr>
          <w:p w14:paraId="74DDCAC4" w14:textId="77777777" w:rsidR="005068D4" w:rsidRDefault="003D64B3">
            <w:pPr>
              <w:jc w:val="center"/>
            </w:pPr>
            <w:r>
              <w:rPr>
                <w:b/>
                <w:bCs/>
                <w:color w:val="FFFFFF"/>
                <w:sz w:val="19"/>
                <w:szCs w:val="19"/>
              </w:rPr>
              <w:t>Platt-calibrated</w:t>
            </w:r>
          </w:p>
        </w:tc>
        <w:tc>
          <w:tcPr>
            <w:tcW w:w="2154" w:type="dxa"/>
            <w:shd w:val="clear" w:color="auto" w:fill="1F3864"/>
            <w:tcMar>
              <w:top w:w="60" w:type="dxa"/>
              <w:left w:w="100" w:type="dxa"/>
              <w:bottom w:w="60" w:type="dxa"/>
              <w:right w:w="100" w:type="dxa"/>
            </w:tcMar>
            <w:vAlign w:val="center"/>
          </w:tcPr>
          <w:p w14:paraId="7BB8B62A" w14:textId="77777777" w:rsidR="005068D4" w:rsidRDefault="003D64B3">
            <w:pPr>
              <w:jc w:val="center"/>
            </w:pPr>
            <w:r>
              <w:rPr>
                <w:b/>
                <w:bCs/>
                <w:color w:val="FFFFFF"/>
                <w:sz w:val="19"/>
                <w:szCs w:val="19"/>
              </w:rPr>
              <w:t>Change</w:t>
            </w:r>
          </w:p>
        </w:tc>
      </w:tr>
      <w:tr w:rsidR="005068D4" w14:paraId="6D353EB6" w14:textId="77777777">
        <w:tblPrEx>
          <w:tblCellMar>
            <w:top w:w="0" w:type="dxa"/>
            <w:bottom w:w="0" w:type="dxa"/>
          </w:tblCellMar>
        </w:tblPrEx>
        <w:tc>
          <w:tcPr>
            <w:tcW w:w="3338" w:type="dxa"/>
            <w:shd w:val="clear" w:color="auto" w:fill="FFFFFF"/>
            <w:tcMar>
              <w:top w:w="60" w:type="dxa"/>
              <w:left w:w="100" w:type="dxa"/>
              <w:bottom w:w="60" w:type="dxa"/>
              <w:right w:w="100" w:type="dxa"/>
            </w:tcMar>
            <w:vAlign w:val="center"/>
          </w:tcPr>
          <w:p w14:paraId="180703E1" w14:textId="77777777" w:rsidR="005068D4" w:rsidRDefault="003D64B3">
            <w:pPr>
              <w:jc w:val="center"/>
            </w:pPr>
            <w:r>
              <w:rPr>
                <w:sz w:val="19"/>
                <w:szCs w:val="19"/>
              </w:rPr>
              <w:t>Brier score (binary, LOOCV)</w:t>
            </w:r>
          </w:p>
        </w:tc>
        <w:tc>
          <w:tcPr>
            <w:tcW w:w="2294" w:type="dxa"/>
            <w:shd w:val="clear" w:color="auto" w:fill="FFFFFF"/>
            <w:tcMar>
              <w:top w:w="60" w:type="dxa"/>
              <w:left w:w="100" w:type="dxa"/>
              <w:bottom w:w="60" w:type="dxa"/>
              <w:right w:w="100" w:type="dxa"/>
            </w:tcMar>
            <w:vAlign w:val="center"/>
          </w:tcPr>
          <w:p w14:paraId="602C8E0D" w14:textId="77777777" w:rsidR="005068D4" w:rsidRDefault="003D64B3">
            <w:pPr>
              <w:jc w:val="center"/>
            </w:pPr>
            <w:r>
              <w:rPr>
                <w:sz w:val="19"/>
                <w:szCs w:val="19"/>
              </w:rPr>
              <w:t>0.072</w:t>
            </w:r>
          </w:p>
        </w:tc>
        <w:tc>
          <w:tcPr>
            <w:tcW w:w="2294" w:type="dxa"/>
            <w:shd w:val="clear" w:color="auto" w:fill="FFFFFF"/>
            <w:tcMar>
              <w:top w:w="60" w:type="dxa"/>
              <w:left w:w="100" w:type="dxa"/>
              <w:bottom w:w="60" w:type="dxa"/>
              <w:right w:w="100" w:type="dxa"/>
            </w:tcMar>
            <w:vAlign w:val="center"/>
          </w:tcPr>
          <w:p w14:paraId="28527538" w14:textId="77777777" w:rsidR="005068D4" w:rsidRDefault="003D64B3">
            <w:pPr>
              <w:jc w:val="center"/>
            </w:pPr>
            <w:r>
              <w:rPr>
                <w:sz w:val="19"/>
                <w:szCs w:val="19"/>
              </w:rPr>
              <w:t>0.140</w:t>
            </w:r>
          </w:p>
        </w:tc>
        <w:tc>
          <w:tcPr>
            <w:tcW w:w="2154" w:type="dxa"/>
            <w:shd w:val="clear" w:color="auto" w:fill="FFFFFF"/>
            <w:tcMar>
              <w:top w:w="60" w:type="dxa"/>
              <w:left w:w="100" w:type="dxa"/>
              <w:bottom w:w="60" w:type="dxa"/>
              <w:right w:w="100" w:type="dxa"/>
            </w:tcMar>
            <w:vAlign w:val="center"/>
          </w:tcPr>
          <w:p w14:paraId="7E67BFC7" w14:textId="77777777" w:rsidR="005068D4" w:rsidRDefault="003D64B3">
            <w:pPr>
              <w:jc w:val="center"/>
            </w:pPr>
            <w:r>
              <w:rPr>
                <w:sz w:val="19"/>
                <w:szCs w:val="19"/>
              </w:rPr>
              <w:t>worse (+0.068)</w:t>
            </w:r>
          </w:p>
        </w:tc>
      </w:tr>
      <w:tr w:rsidR="005068D4" w14:paraId="7FE9E402" w14:textId="77777777">
        <w:tblPrEx>
          <w:tblCellMar>
            <w:top w:w="0" w:type="dxa"/>
            <w:bottom w:w="0" w:type="dxa"/>
          </w:tblCellMar>
        </w:tblPrEx>
        <w:tc>
          <w:tcPr>
            <w:tcW w:w="3338" w:type="dxa"/>
            <w:shd w:val="clear" w:color="auto" w:fill="F2F2F2"/>
            <w:tcMar>
              <w:top w:w="60" w:type="dxa"/>
              <w:left w:w="100" w:type="dxa"/>
              <w:bottom w:w="60" w:type="dxa"/>
              <w:right w:w="100" w:type="dxa"/>
            </w:tcMar>
            <w:vAlign w:val="center"/>
          </w:tcPr>
          <w:p w14:paraId="2EB3AB0D" w14:textId="77777777" w:rsidR="005068D4" w:rsidRDefault="003D64B3">
            <w:pPr>
              <w:jc w:val="center"/>
            </w:pPr>
            <w:r>
              <w:rPr>
                <w:sz w:val="19"/>
                <w:szCs w:val="19"/>
              </w:rPr>
              <w:t>Expected Calibration Error</w:t>
            </w:r>
          </w:p>
        </w:tc>
        <w:tc>
          <w:tcPr>
            <w:tcW w:w="2294" w:type="dxa"/>
            <w:shd w:val="clear" w:color="auto" w:fill="F2F2F2"/>
            <w:tcMar>
              <w:top w:w="60" w:type="dxa"/>
              <w:left w:w="100" w:type="dxa"/>
              <w:bottom w:w="60" w:type="dxa"/>
              <w:right w:w="100" w:type="dxa"/>
            </w:tcMar>
            <w:vAlign w:val="center"/>
          </w:tcPr>
          <w:p w14:paraId="3DB5F0F5" w14:textId="77777777" w:rsidR="005068D4" w:rsidRDefault="003D64B3">
            <w:pPr>
              <w:jc w:val="center"/>
            </w:pPr>
            <w:r>
              <w:rPr>
                <w:sz w:val="19"/>
                <w:szCs w:val="19"/>
              </w:rPr>
              <w:t>0.126</w:t>
            </w:r>
          </w:p>
        </w:tc>
        <w:tc>
          <w:tcPr>
            <w:tcW w:w="2294" w:type="dxa"/>
            <w:shd w:val="clear" w:color="auto" w:fill="F2F2F2"/>
            <w:tcMar>
              <w:top w:w="60" w:type="dxa"/>
              <w:left w:w="100" w:type="dxa"/>
              <w:bottom w:w="60" w:type="dxa"/>
              <w:right w:w="100" w:type="dxa"/>
            </w:tcMar>
            <w:vAlign w:val="center"/>
          </w:tcPr>
          <w:p w14:paraId="07E9BBAD" w14:textId="77777777" w:rsidR="005068D4" w:rsidRDefault="003D64B3">
            <w:pPr>
              <w:jc w:val="center"/>
            </w:pPr>
            <w:r>
              <w:rPr>
                <w:sz w:val="19"/>
                <w:szCs w:val="19"/>
              </w:rPr>
              <w:t>0.244</w:t>
            </w:r>
          </w:p>
        </w:tc>
        <w:tc>
          <w:tcPr>
            <w:tcW w:w="2154" w:type="dxa"/>
            <w:shd w:val="clear" w:color="auto" w:fill="F2F2F2"/>
            <w:tcMar>
              <w:top w:w="60" w:type="dxa"/>
              <w:left w:w="100" w:type="dxa"/>
              <w:bottom w:w="60" w:type="dxa"/>
              <w:right w:w="100" w:type="dxa"/>
            </w:tcMar>
            <w:vAlign w:val="center"/>
          </w:tcPr>
          <w:p w14:paraId="2CD19911" w14:textId="77777777" w:rsidR="005068D4" w:rsidRDefault="003D64B3">
            <w:pPr>
              <w:jc w:val="center"/>
            </w:pPr>
            <w:r>
              <w:rPr>
                <w:sz w:val="19"/>
                <w:szCs w:val="19"/>
              </w:rPr>
              <w:t>worse (+0.118)</w:t>
            </w:r>
          </w:p>
        </w:tc>
      </w:tr>
      <w:tr w:rsidR="005068D4" w14:paraId="6EB25BA1" w14:textId="77777777">
        <w:tblPrEx>
          <w:tblCellMar>
            <w:top w:w="0" w:type="dxa"/>
            <w:bottom w:w="0" w:type="dxa"/>
          </w:tblCellMar>
        </w:tblPrEx>
        <w:tc>
          <w:tcPr>
            <w:tcW w:w="3338" w:type="dxa"/>
            <w:shd w:val="clear" w:color="auto" w:fill="FFFFFF"/>
            <w:tcMar>
              <w:top w:w="60" w:type="dxa"/>
              <w:left w:w="100" w:type="dxa"/>
              <w:bottom w:w="60" w:type="dxa"/>
              <w:right w:w="100" w:type="dxa"/>
            </w:tcMar>
            <w:vAlign w:val="center"/>
          </w:tcPr>
          <w:p w14:paraId="4ADD21D4" w14:textId="77777777" w:rsidR="005068D4" w:rsidRDefault="003D64B3">
            <w:pPr>
              <w:jc w:val="center"/>
            </w:pPr>
            <w:r>
              <w:rPr>
                <w:sz w:val="19"/>
                <w:szCs w:val="19"/>
              </w:rPr>
              <w:t>MAE vs. continuous labels</w:t>
            </w:r>
          </w:p>
        </w:tc>
        <w:tc>
          <w:tcPr>
            <w:tcW w:w="2294" w:type="dxa"/>
            <w:shd w:val="clear" w:color="auto" w:fill="FFFFFF"/>
            <w:tcMar>
              <w:top w:w="60" w:type="dxa"/>
              <w:left w:w="100" w:type="dxa"/>
              <w:bottom w:w="60" w:type="dxa"/>
              <w:right w:w="100" w:type="dxa"/>
            </w:tcMar>
            <w:vAlign w:val="center"/>
          </w:tcPr>
          <w:p w14:paraId="20679AA8" w14:textId="77777777" w:rsidR="005068D4" w:rsidRDefault="003D64B3">
            <w:pPr>
              <w:jc w:val="center"/>
            </w:pPr>
            <w:r>
              <w:rPr>
                <w:sz w:val="19"/>
                <w:szCs w:val="19"/>
              </w:rPr>
              <w:t>0.041</w:t>
            </w:r>
          </w:p>
        </w:tc>
        <w:tc>
          <w:tcPr>
            <w:tcW w:w="2294" w:type="dxa"/>
            <w:shd w:val="clear" w:color="auto" w:fill="FFFFFF"/>
            <w:tcMar>
              <w:top w:w="60" w:type="dxa"/>
              <w:left w:w="100" w:type="dxa"/>
              <w:bottom w:w="60" w:type="dxa"/>
              <w:right w:w="100" w:type="dxa"/>
            </w:tcMar>
            <w:vAlign w:val="center"/>
          </w:tcPr>
          <w:p w14:paraId="41A4F44D" w14:textId="77777777" w:rsidR="005068D4" w:rsidRDefault="003D64B3">
            <w:pPr>
              <w:jc w:val="center"/>
            </w:pPr>
            <w:r>
              <w:rPr>
                <w:sz w:val="19"/>
                <w:szCs w:val="19"/>
              </w:rPr>
              <w:t>0.175</w:t>
            </w:r>
          </w:p>
        </w:tc>
        <w:tc>
          <w:tcPr>
            <w:tcW w:w="2154" w:type="dxa"/>
            <w:shd w:val="clear" w:color="auto" w:fill="FFFFFF"/>
            <w:tcMar>
              <w:top w:w="60" w:type="dxa"/>
              <w:left w:w="100" w:type="dxa"/>
              <w:bottom w:w="60" w:type="dxa"/>
              <w:right w:w="100" w:type="dxa"/>
            </w:tcMar>
            <w:vAlign w:val="center"/>
          </w:tcPr>
          <w:p w14:paraId="703CFC92" w14:textId="77777777" w:rsidR="005068D4" w:rsidRDefault="003D64B3">
            <w:pPr>
              <w:jc w:val="center"/>
            </w:pPr>
            <w:r>
              <w:rPr>
                <w:sz w:val="19"/>
                <w:szCs w:val="19"/>
              </w:rPr>
              <w:t>worse (+0.134)</w:t>
            </w:r>
          </w:p>
        </w:tc>
      </w:tr>
    </w:tbl>
    <w:p w14:paraId="4B723396" w14:textId="77777777" w:rsidR="005068D4" w:rsidRDefault="003D64B3">
      <w:pPr>
        <w:spacing w:before="60" w:after="240"/>
      </w:pPr>
      <w:r>
        <w:rPr>
          <w:i/>
          <w:iCs/>
          <w:color w:val="595959"/>
          <w:sz w:val="19"/>
          <w:szCs w:val="19"/>
        </w:rPr>
        <w:t>Table 4. Before/after Platt scaling, evaluated honestly via leave-one-out cross-validation. Lower is better for every row. The Brier score and ECE columns describe the same fitted probabilities as the MAE row — they are not two different models, only two different things being asked of the same corrected output.</w:t>
      </w:r>
    </w:p>
    <w:p w14:paraId="7731E452" w14:textId="77777777" w:rsidR="005068D4" w:rsidRDefault="003D64B3">
      <w:pPr>
        <w:spacing w:after="140"/>
      </w:pPr>
      <w:r>
        <w:t>This is not a bug to be fixed but a real, reportable finding about the limits of this project's sample size, and the reason score_url()'s own output is left uncorrected: Platt scaling fits two additional free parameters (A and B) from only 24–27 labelled examples, and at that scale even two more parameters can add more noise than they remove — consistent with every metric moving in the same direction rather than trading against one another, which is what a genuine calibration-versus-accuracy trade-off would</w:t>
      </w:r>
      <w:r>
        <w:t xml:space="preserve"> look like. A caller that specifically wants a calibrated P(source is trustworthy) has calibrated_probability() available, but this report's own numbers do not currently support treating that corrected value as more trustworthy than the raw score; a caller that wants the graded score evaluate.py measures keeps using score_url() unmodified. Which of the two the shipped Streamlit app should surface by default is therefore not a close call given these results: this report's recommendation is the graded, uncali</w:t>
      </w:r>
      <w:r>
        <w:t>brated score, since Table 4 shows no case in which the calibrated version currently performs better.</w:t>
      </w:r>
    </w:p>
    <w:p w14:paraId="50110E08" w14:textId="77777777" w:rsidR="005068D4" w:rsidRDefault="003D64B3">
      <w:pPr>
        <w:pStyle w:val="Heading1"/>
      </w:pPr>
      <w:r>
        <w:t>6. Discussion — What Still Fails, and Why</w:t>
      </w:r>
    </w:p>
    <w:p w14:paraId="395426A4" w14:textId="77777777" w:rsidR="005068D4" w:rsidRDefault="003D64B3">
      <w:pPr>
        <w:pStyle w:val="Heading2"/>
      </w:pPr>
      <w:r>
        <w:t>6.1 The domain table's coverage, not a better algorithm, explains most of Stage 1's held-out gain</w:t>
      </w:r>
    </w:p>
    <w:p w14:paraId="6C5B4455" w14:textId="77777777" w:rsidR="005068D4" w:rsidRDefault="003D64B3">
      <w:pPr>
        <w:spacing w:after="140"/>
      </w:pPr>
      <w:r>
        <w:t xml:space="preserve">evaluate.py's HELD OUT block exists specifically to test whether an improvement generalizes to domains the scorer has not memorized. Re-annotating DOMAIN_SCORES against WP:RSP (Stage 1, weakness 2) was an opportunity to add entries for domains that had real WP:RSP classifications but were not yet in the table — including several that </w:t>
      </w:r>
      <w:r>
        <w:lastRenderedPageBreak/>
        <w:t xml:space="preserve">happen to be the same domains in the evaluation harness's own held-out block (pnas.org, jamanetwork.com, who.int, propublica.org, imf.org, stackoverflow.com, and seekingalpha.com). To separate the effect of table coverage from the effect of the new page-content and scholarly-metadata signals, this report ran a controlled ablation: with network signals disabled and those seven overlapping entries removed from a copy of the expanded table, MAE on the same evaluation set reverted from 0.083 to roughly 0.140 — </w:t>
      </w:r>
      <w:r>
        <w:t>essentially back to the unmodified baseline's 0.142. In other words, under this ablation nearly all of the apparent improvement traced to the table simply now covering the domains the benchmark was designed to hold out, not to a more general algorithm. This is exactly the caution the project's own README gives about weakness 2 ("a longer lookup table is not the same thing as a better algorithm") and is reported here as a limitation of this revision rather than something the final headline numbers in Table 2</w:t>
      </w:r>
      <w:r>
        <w:t xml:space="preserve"> should be read as fully crediting to Stages 1–4's genuinely new signal types. Table 2's real numbers do still benefit from page-content and scholarly signals — confirmed independently in Section 6.3 below, once real network access was available — but the honest reading of weakness 2 is "partially fixed": better sourced, not fundamentally less table-shaped.</w:t>
      </w:r>
    </w:p>
    <w:p w14:paraId="04595A28" w14:textId="77777777" w:rsidR="005068D4" w:rsidRDefault="003D64B3">
      <w:pPr>
        <w:pStyle w:val="Heading2"/>
      </w:pPr>
      <w:r>
        <w:t>6.2 Rare-but-important signals are unstable at this sample size</w:t>
      </w:r>
    </w:p>
    <w:p w14:paraId="72E46BF2" w14:textId="77777777" w:rsidR="005068D4" w:rsidRDefault="003D64B3">
      <w:pPr>
        <w:spacing w:after="140"/>
      </w:pPr>
      <w:r>
        <w:t xml:space="preserve">The bootstrap analysis in Section 5.4 is, in effect, a stress test of how much the 24–27 labelled examples can support. A feature like domain_score, which has a nonzero value on the large majority of labelled rows, is stable by any measure — kept in every resample, unanimous on sign. A feature like retracted has a nonzero value on perhaps one or two rows in the entire labelled set (only one deliberately retracted paper was added to the set for this report), so a bootstrap resample that happens to drop that </w:t>
      </w:r>
      <w:r>
        <w:t>one row from its sample has no way to estimate its effect at all, and a resample that includes it twice can overweight it. The result — kept in only 28% of resamples, and unstable in sign even then — is not evidence the retraction signal is conceptually wrong; the Stage 1 rationale for checking is_retracted at all stands on its own. It is evidence that this evaluation set is too small to let a data-fitted model place reliable weight on any signal that fires rarely, which is a limitation of the evaluation me</w:t>
      </w:r>
      <w:r>
        <w:t>thodology this project prescribes (n ≈ 24, fit and evaluated on the same small set) rather than of the specific signals chosen. A larger, independently collected labelled set — ideally one deliberately oversampled for retracted and highly-cited works — would be the natural next step to resolve this.</w:t>
      </w:r>
    </w:p>
    <w:p w14:paraId="400E24B1" w14:textId="77777777" w:rsidR="005068D4" w:rsidRDefault="003D64B3">
      <w:pPr>
        <w:pStyle w:val="Heading2"/>
      </w:pPr>
      <w:r>
        <w:t>6.3 A verification-integrity note</w:t>
      </w:r>
    </w:p>
    <w:p w14:paraId="79A264DA" w14:textId="77777777" w:rsidR="005068D4" w:rsidRDefault="003D64B3">
      <w:pPr>
        <w:spacing w:after="140"/>
      </w:pPr>
      <w:r>
        <w:t>Stage 1's page-content and OpenAlex signals depend on outbound network access, and this report's own working environment restricts outbound HTTPS to a small domain allowlist. Early verification runs in that environment therefore had every page-fetch and OpenAlex call silently fail via the fail-open design described in Section 3.1 — indistinguishable, from inside the code, from a URL that genuinely does not exist. This was caught before it could produce a report built on unverified numbers: the ablation in S</w:t>
      </w:r>
      <w:r>
        <w:t>ection 6.1 was itself the diagnostic that first surfaced the problem, since Stage 1's apparent gain persisted even with zero network-dependent signals firing, which is only possible if the gain was coming from somewhere else (the domain table). All of the numbers in Sections 5.2–5.5 that depend on real network access — Table 2's final row, Table 3's coefficients, and both rows of Table 4 — were subsequently produced by re-running train_weights.py, calibration.py, bootstrap_uncertainty.py, and evaluate.py on</w:t>
      </w:r>
      <w:r>
        <w:t xml:space="preserve"> a machine with genuine internet access, and the resulting learned model does keep page-content-derived features (has_dateline, thin_content) and shows scholarly-metadata features (retracted, citation_count_log) firing in the bootstrap ensemble — confirming Stage 1's network-dependent signals work as designed once given a real network to reach. This episode is reported here because the same fail-open behaviour that keeps the app from crashing on a broken link also has the specific failure mode of masking a </w:t>
      </w:r>
      <w:r>
        <w:t>systemic connectivity problem as "nothing to report" — a genuine, if narrow, cost of the design decision in Section 3.1 that is worth naming rather than leaving implicit.</w:t>
      </w:r>
    </w:p>
    <w:p w14:paraId="6603F521" w14:textId="77777777" w:rsidR="005068D4" w:rsidRDefault="003D64B3">
      <w:pPr>
        <w:pStyle w:val="Heading2"/>
      </w:pPr>
      <w:r>
        <w:t>6.4 Weaknesses left open</w:t>
      </w:r>
    </w:p>
    <w:p w14:paraId="40DFEF98" w14:textId="77777777" w:rsidR="005068D4" w:rsidRDefault="003D64B3">
      <w:pPr>
        <w:spacing w:after="140"/>
      </w:pPr>
      <w:r>
        <w:t>Four of the twelve named weaknesses were deliberately left unaddressed in this revision, in the interest of doing the eight chosen fixes properly rather than all twelve shallowly, and are named here rather than left silent. Weakness 5 (any .edu domain scores highly) and weakness 11 (subdomains inherit a parent domain's reputation in full) are both instances of the same underlying gap: the domain-matching logic has no notion of institutional versus personal hosting, or of editorial versus unmoderated subdoma</w:t>
      </w:r>
      <w:r>
        <w:t xml:space="preserve">ins, and the page-content signals added in Stage 1 do not yet </w:t>
      </w:r>
      <w:r>
        <w:lastRenderedPageBreak/>
        <w:t>feed back into which domain-table entry applies, only into the final blended score. Weakness 10 (the explanation is a list of rule fragments) is a presentation problem rather than a scoring problem, and was set aside in favor of stages that could be measured quantitatively against evaluate.py; a template- or LLM-based explanation rewrite is a natural, low-risk follow-up that would not touch score_url()'s numeric behavior at all. Weakness 12 (pena</w:t>
      </w:r>
      <w:r>
        <w:t>lties stack without a floor) remains present in the underlying rule_based_signals() output, though its practical effect is muted in the final system because Stage 2's learned weights replace the additive combination that used to let three penalties fully stack; whether it still causes an occasional over-penalized score was not directly tested and is a natural target for the three new test URLs' methodology to be extended to.</w:t>
      </w:r>
    </w:p>
    <w:p w14:paraId="69F776AE" w14:textId="77777777" w:rsidR="005068D4" w:rsidRDefault="003D64B3">
      <w:pPr>
        <w:pStyle w:val="Heading1"/>
      </w:pPr>
      <w:r>
        <w:t>7. Conclusion</w:t>
      </w:r>
    </w:p>
    <w:p w14:paraId="5590D098" w14:textId="77777777" w:rsidR="005068D4" w:rsidRDefault="003D64B3">
      <w:pPr>
        <w:spacing w:after="140"/>
      </w:pPr>
      <w:r>
        <w:t xml:space="preserve">This revision took score_url() from a hand-tuned blend of an unsourced domain table and a single LLM opinion — 0.142 MAE and two-thirds band accuracy on the original evaluation set — to a fitted, feature-selected, calibration-aware system with quantified uncertainty, at 0.041 MAE and 92.6% band accuracy on an extended evaluation set, while preserving score_url()'s exact contract throughout. Every stage is backed by a specific, citable technique (Lasso feature selection, Platt scaling, bootstrap resampling, </w:t>
      </w:r>
      <w:r>
        <w:t>a maintained source-reliability classification) rather than an invented heuristic, and every stage's reported gain was checked against the specific way it could be an illusion: Stage 1's held-out gain was checked against table-coverage contamination and found to be partly, not wholly, real; Stage 2's accuracy was reported leave-one-out rather than in-sample; Stage 3's calibration fix was checked against the objective evaluate.py actually grades and found to make it worse, not better, likely a symptom of fit</w:t>
      </w:r>
      <w:r>
        <w:t>ting two extra parameters from too few labelled examples; and Stage 4's own bootstrap ensemble was used to check Stage 2's point-estimate feature list for stability, not just to produce confidence intervals. Four weaknesses remain open by choice, and are named rather than hidden. The single largest opportunity for a future revision is a larger, independently collected labelled set — the evaluation harness's small size is the constraint that runs through nearly every honest caveat in this report, from LOOCV'</w:t>
      </w:r>
      <w:r>
        <w:t>s own limits to the retraction signal's instability to the domain-table ablation itself.</w:t>
      </w:r>
    </w:p>
    <w:p w14:paraId="2F9F39D3" w14:textId="77777777" w:rsidR="005068D4" w:rsidRDefault="003D64B3">
      <w:pPr>
        <w:pStyle w:val="Heading1"/>
      </w:pPr>
      <w:r>
        <w:t>References</w:t>
      </w:r>
    </w:p>
    <w:p w14:paraId="0A7A2EFE" w14:textId="77777777" w:rsidR="005068D4" w:rsidRDefault="003D64B3">
      <w:pPr>
        <w:spacing w:after="200" w:line="276" w:lineRule="auto"/>
        <w:ind w:left="360" w:hanging="360"/>
      </w:pPr>
      <w:r>
        <w:t xml:space="preserve">Brier, G. W. (1950). Verification of forecasts expressed in terms of probability. </w:t>
      </w:r>
      <w:r>
        <w:rPr>
          <w:i/>
          <w:iCs/>
        </w:rPr>
        <w:t>Monthly Weather Review, 78</w:t>
      </w:r>
      <w:r>
        <w:t xml:space="preserve">(1), 1–3. </w:t>
      </w:r>
      <w:hyperlink r:id="rId5" w:history="1">
        <w:r>
          <w:rPr>
            <w:rStyle w:val="Hyperlink"/>
          </w:rPr>
          <w:t>https://journals.ametsoc.org/view/journals/mwre/78/1/1520-0493_1950_078_0001_vofeit_2_0_co_2.xml</w:t>
        </w:r>
      </w:hyperlink>
    </w:p>
    <w:p w14:paraId="0C6989DD" w14:textId="77777777" w:rsidR="005068D4" w:rsidRDefault="003D64B3">
      <w:pPr>
        <w:spacing w:after="200" w:line="276" w:lineRule="auto"/>
        <w:ind w:left="360" w:hanging="360"/>
      </w:pPr>
      <w:r>
        <w:t xml:space="preserve">Hauschke, C., &amp; Nazarovets, S. (2024). (Non-)retracted academic papers in OpenAlex. </w:t>
      </w:r>
      <w:r>
        <w:rPr>
          <w:i/>
          <w:iCs/>
        </w:rPr>
        <w:t>arXiv preprint arXiv:2403.13339</w:t>
      </w:r>
      <w:r>
        <w:t xml:space="preserve">. </w:t>
      </w:r>
      <w:hyperlink r:id="rId6" w:history="1">
        <w:r>
          <w:rPr>
            <w:rStyle w:val="Hyperlink"/>
          </w:rPr>
          <w:t>https://arxiv.org/abs/2403.13339</w:t>
        </w:r>
      </w:hyperlink>
    </w:p>
    <w:p w14:paraId="47DA909E" w14:textId="77777777" w:rsidR="005068D4" w:rsidRDefault="003D64B3">
      <w:pPr>
        <w:spacing w:after="200" w:line="276" w:lineRule="auto"/>
        <w:ind w:left="360" w:hanging="360"/>
      </w:pPr>
      <w:r>
        <w:t xml:space="preserve">Platt, J. C. (1999). Probabilistic outputs for support vector machines and comparisons to regularized likelihood methods. In </w:t>
      </w:r>
      <w:r>
        <w:rPr>
          <w:i/>
          <w:iCs/>
        </w:rPr>
        <w:t>Advances in Large Margin Classifiers</w:t>
      </w:r>
      <w:r>
        <w:t xml:space="preserve"> (pp. 61–74). MIT Press. </w:t>
      </w:r>
      <w:hyperlink r:id="rId7" w:history="1">
        <w:r>
          <w:rPr>
            <w:rStyle w:val="Hyperlink"/>
          </w:rPr>
          <w:t>https://www.researchgate.net/publication/2594015</w:t>
        </w:r>
      </w:hyperlink>
    </w:p>
    <w:p w14:paraId="26EAD31E" w14:textId="77777777" w:rsidR="005068D4" w:rsidRDefault="003D64B3">
      <w:pPr>
        <w:spacing w:after="200" w:line="276" w:lineRule="auto"/>
        <w:ind w:left="360" w:hanging="360"/>
      </w:pPr>
      <w:r>
        <w:t xml:space="preserve">Tibshirani, R. (1996). Regression shrinkage and selection via the lasso. </w:t>
      </w:r>
      <w:r>
        <w:rPr>
          <w:i/>
          <w:iCs/>
        </w:rPr>
        <w:t>Journal of the Royal Statistical Society: Series B (Methodological), 58</w:t>
      </w:r>
      <w:r>
        <w:t xml:space="preserve">(1), 267–288. </w:t>
      </w:r>
      <w:hyperlink r:id="rId8" w:history="1">
        <w:r>
          <w:rPr>
            <w:rStyle w:val="Hyperlink"/>
          </w:rPr>
          <w:t>https://rss.onlinelibrary.wiley.com/doi/10.1111/j.2517-6161.1996.tb02080.x</w:t>
        </w:r>
      </w:hyperlink>
    </w:p>
    <w:p w14:paraId="19B1F7F3" w14:textId="77777777" w:rsidR="005068D4" w:rsidRDefault="003D64B3">
      <w:pPr>
        <w:spacing w:after="200" w:line="276" w:lineRule="auto"/>
        <w:ind w:left="360" w:hanging="360"/>
      </w:pPr>
      <w:r>
        <w:t xml:space="preserve">Wikipedia contributors. (2026). </w:t>
      </w:r>
      <w:r>
        <w:rPr>
          <w:i/>
          <w:iCs/>
        </w:rPr>
        <w:t>Wikipedia: Reliable sources/Perennial sources</w:t>
      </w:r>
      <w:r>
        <w:t xml:space="preserve">. Wikipedia, The Free Encyclopedia. </w:t>
      </w:r>
      <w:hyperlink r:id="rId9" w:history="1">
        <w:r>
          <w:rPr>
            <w:rStyle w:val="Hyperlink"/>
          </w:rPr>
          <w:t>https://en.wikipedia.org/wiki/Wikipedia:Reliable_sources/Perennial_sources</w:t>
        </w:r>
      </w:hyperlink>
    </w:p>
    <w:p w14:paraId="5B81D4C8" w14:textId="77777777" w:rsidR="005068D4" w:rsidRDefault="003D64B3">
      <w:pPr>
        <w:spacing w:after="200" w:line="276" w:lineRule="auto"/>
        <w:ind w:left="360" w:hanging="360"/>
      </w:pPr>
      <w:r>
        <w:t xml:space="preserve">Yang, F., et al. (2024). Automated credibility assessment of web-based health information considering the Health on the Net Foundation code of conduct (HONcode): Model development and validation study. </w:t>
      </w:r>
      <w:r>
        <w:rPr>
          <w:i/>
          <w:iCs/>
        </w:rPr>
        <w:t>JMIR</w:t>
      </w:r>
      <w:r>
        <w:t xml:space="preserve">. </w:t>
      </w:r>
      <w:hyperlink r:id="rId10" w:history="1">
        <w:r>
          <w:rPr>
            <w:rStyle w:val="Hyperlink"/>
          </w:rPr>
          <w:t>https://pmc.ncbi.nlm.nih.gov/articles/PMC10770789/</w:t>
        </w:r>
      </w:hyperlink>
    </w:p>
    <w:p w14:paraId="1ECCDCA4" w14:textId="77777777" w:rsidR="005068D4" w:rsidRDefault="003D64B3">
      <w:pPr>
        <w:spacing w:after="200" w:line="276" w:lineRule="auto"/>
        <w:ind w:left="360" w:hanging="360"/>
      </w:pPr>
      <w:r>
        <w:t xml:space="preserve">Zhang, C., &amp; Ghorbani, A. (2024). A survey on automatic credibility assessment using textual credibility signals in the era of large language models. </w:t>
      </w:r>
      <w:r>
        <w:rPr>
          <w:i/>
          <w:iCs/>
        </w:rPr>
        <w:t>arXiv preprint arXiv:2410.21360</w:t>
      </w:r>
      <w:r>
        <w:t xml:space="preserve">. </w:t>
      </w:r>
      <w:hyperlink r:id="rId11" w:history="1">
        <w:r>
          <w:rPr>
            <w:rStyle w:val="Hyperlink"/>
          </w:rPr>
          <w:t>https://arxiv.org/abs/2410.21360</w:t>
        </w:r>
      </w:hyperlink>
    </w:p>
    <w:sectPr w:rsidR="005068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A4655"/>
    <w:multiLevelType w:val="hybridMultilevel"/>
    <w:tmpl w:val="C0D64DD4"/>
    <w:lvl w:ilvl="0" w:tplc="3C2CC26C">
      <w:start w:val="1"/>
      <w:numFmt w:val="bullet"/>
      <w:lvlText w:val="●"/>
      <w:lvlJc w:val="left"/>
      <w:pPr>
        <w:ind w:left="720" w:hanging="360"/>
      </w:pPr>
    </w:lvl>
    <w:lvl w:ilvl="1" w:tplc="508A1AC8">
      <w:start w:val="1"/>
      <w:numFmt w:val="bullet"/>
      <w:lvlText w:val="○"/>
      <w:lvlJc w:val="left"/>
      <w:pPr>
        <w:ind w:left="1440" w:hanging="360"/>
      </w:pPr>
    </w:lvl>
    <w:lvl w:ilvl="2" w:tplc="C32ABA64">
      <w:start w:val="1"/>
      <w:numFmt w:val="bullet"/>
      <w:lvlText w:val="■"/>
      <w:lvlJc w:val="left"/>
      <w:pPr>
        <w:ind w:left="2160" w:hanging="360"/>
      </w:pPr>
    </w:lvl>
    <w:lvl w:ilvl="3" w:tplc="2442747E">
      <w:start w:val="1"/>
      <w:numFmt w:val="bullet"/>
      <w:lvlText w:val="●"/>
      <w:lvlJc w:val="left"/>
      <w:pPr>
        <w:ind w:left="2880" w:hanging="360"/>
      </w:pPr>
    </w:lvl>
    <w:lvl w:ilvl="4" w:tplc="7CB80F20">
      <w:start w:val="1"/>
      <w:numFmt w:val="bullet"/>
      <w:lvlText w:val="○"/>
      <w:lvlJc w:val="left"/>
      <w:pPr>
        <w:ind w:left="3600" w:hanging="360"/>
      </w:pPr>
    </w:lvl>
    <w:lvl w:ilvl="5" w:tplc="819CA0B8">
      <w:start w:val="1"/>
      <w:numFmt w:val="bullet"/>
      <w:lvlText w:val="■"/>
      <w:lvlJc w:val="left"/>
      <w:pPr>
        <w:ind w:left="4320" w:hanging="360"/>
      </w:pPr>
    </w:lvl>
    <w:lvl w:ilvl="6" w:tplc="271E3190">
      <w:start w:val="1"/>
      <w:numFmt w:val="bullet"/>
      <w:lvlText w:val="●"/>
      <w:lvlJc w:val="left"/>
      <w:pPr>
        <w:ind w:left="5040" w:hanging="360"/>
      </w:pPr>
    </w:lvl>
    <w:lvl w:ilvl="7" w:tplc="B8947388">
      <w:start w:val="1"/>
      <w:numFmt w:val="bullet"/>
      <w:lvlText w:val="●"/>
      <w:lvlJc w:val="left"/>
      <w:pPr>
        <w:ind w:left="5760" w:hanging="360"/>
      </w:pPr>
    </w:lvl>
    <w:lvl w:ilvl="8" w:tplc="C8CA96F6">
      <w:start w:val="1"/>
      <w:numFmt w:val="bullet"/>
      <w:lvlText w:val="●"/>
      <w:lvlJc w:val="left"/>
      <w:pPr>
        <w:ind w:left="6480" w:hanging="360"/>
      </w:pPr>
    </w:lvl>
  </w:abstractNum>
  <w:num w:numId="1" w16cid:durableId="1874072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8D4"/>
    <w:rsid w:val="00136038"/>
    <w:rsid w:val="00294CFA"/>
    <w:rsid w:val="003D64B3"/>
    <w:rsid w:val="00506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B751"/>
  <w15:docId w15:val="{46615676-5606-47BB-B6A8-86C92E42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4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7"/>
      <w:szCs w:val="27"/>
    </w:rPr>
  </w:style>
  <w:style w:type="paragraph" w:styleId="Heading2">
    <w:name w:val="heading 2"/>
    <w:uiPriority w:val="9"/>
    <w:unhideWhenUsed/>
    <w:qFormat/>
    <w:pPr>
      <w:spacing w:before="180" w:after="9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ss.onlinelibrary.wiley.com/doi/10.1111/j.2517-6161.1996.tb02080.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259401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3.13339" TargetMode="External"/><Relationship Id="rId11" Type="http://schemas.openxmlformats.org/officeDocument/2006/relationships/hyperlink" Target="https://arxiv.org/abs/2410.21360" TargetMode="External"/><Relationship Id="rId5" Type="http://schemas.openxmlformats.org/officeDocument/2006/relationships/hyperlink" Target="https://journals.ametsoc.org/view/journals/mwre/78/1/1520-0493_1950_078_0001_vofeit_2_0_co_2.xml" TargetMode="External"/><Relationship Id="rId10" Type="http://schemas.openxmlformats.org/officeDocument/2006/relationships/hyperlink" Target="https://pmc.ncbi.nlm.nih.gov/articles/PMC10770789/" TargetMode="External"/><Relationship Id="rId4" Type="http://schemas.openxmlformats.org/officeDocument/2006/relationships/webSettings" Target="webSettings.xml"/><Relationship Id="rId9" Type="http://schemas.openxmlformats.org/officeDocument/2006/relationships/hyperlink" Target="https://en.wikipedia.org/wiki/Wikipedia:Reliable_sources/Perennial_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5024</Words>
  <Characters>28641</Characters>
  <Application>Microsoft Office Word</Application>
  <DocSecurity>0</DocSecurity>
  <Lines>238</Lines>
  <Paragraphs>67</Paragraphs>
  <ScaleCrop>false</ScaleCrop>
  <Company/>
  <LinksUpToDate>false</LinksUpToDate>
  <CharactersWithSpaces>33598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Langston Williams</cp:lastModifiedBy>
  <cp:revision>2</cp:revision>
  <dcterms:created xsi:type="dcterms:W3CDTF">2026-09-24T15:05:00Z</dcterms:created>
  <dcterms:modified xsi:type="dcterms:W3CDTF">2026-09-24T15:05:00Z</dcterms:modified>
</cp:coreProperties>
</file>