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650" w14:textId="6A5F6BEE" w:rsidR="00392280" w:rsidRPr="000065F0" w:rsidRDefault="00410DAB" w:rsidP="000065F0">
      <w:pPr>
        <w:pStyle w:val="Title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Post-implementation</w:t>
      </w:r>
      <w:r w:rsidR="007C34CF">
        <w:rPr>
          <w:rFonts w:ascii="Calibri" w:hAnsi="Calibri" w:cs="Calibri"/>
        </w:rPr>
        <w:t xml:space="preserve"> review report outline</w:t>
      </w:r>
    </w:p>
    <w:p w14:paraId="7275FB71" w14:textId="77777777" w:rsidR="005D1172" w:rsidRPr="005D1172" w:rsidRDefault="005D1172" w:rsidP="005D1172">
      <w:pPr>
        <w:rPr>
          <w:lang w:val="en"/>
        </w:rPr>
      </w:pPr>
    </w:p>
    <w:p w14:paraId="7CD015B2" w14:textId="44EAE130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Task </w:t>
      </w:r>
      <w:r w:rsidR="00941C67"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.1</w:t>
      </w:r>
      <w:r w:rsidR="00941C67"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Review the </w:t>
      </w:r>
      <w:r w:rsidR="00920AFE">
        <w:rPr>
          <w:rFonts w:ascii="Calibri" w:hAnsi="Calibri" w:cs="Calibri"/>
          <w:lang w:val="en"/>
        </w:rPr>
        <w:t>f</w:t>
      </w:r>
      <w:r w:rsidR="00941C67">
        <w:rPr>
          <w:rFonts w:ascii="Calibri" w:hAnsi="Calibri" w:cs="Calibri"/>
          <w:lang w:val="en"/>
        </w:rPr>
        <w:t>eedback</w:t>
      </w:r>
      <w:r w:rsidR="0060706B">
        <w:rPr>
          <w:rFonts w:ascii="Calibri" w:hAnsi="Calibri" w:cs="Calibri"/>
          <w:lang w:val="en"/>
        </w:rPr>
        <w:t>.</w:t>
      </w:r>
    </w:p>
    <w:p w14:paraId="2E50E1ED" w14:textId="6E591821" w:rsidR="00B4528A" w:rsidRPr="00BC4264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D0584C" w14:paraId="3AEFB402" w14:textId="77777777" w:rsidTr="00752954">
        <w:tc>
          <w:tcPr>
            <w:tcW w:w="726" w:type="dxa"/>
          </w:tcPr>
          <w:p w14:paraId="13DD3009" w14:textId="1B2A58BC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278881FE" w14:textId="429AE9D5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</w:tr>
      <w:tr w:rsidR="00D0584C" w14:paraId="004DE377" w14:textId="77777777" w:rsidTr="00752954">
        <w:tc>
          <w:tcPr>
            <w:tcW w:w="726" w:type="dxa"/>
          </w:tcPr>
          <w:p w14:paraId="18D97630" w14:textId="324CC6E4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6997D186" w14:textId="67B26B30" w:rsidR="00D0584C" w:rsidRPr="00BC4264" w:rsidRDefault="000065F0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delivery date not displayed correctly in the customer engagement mobile app.</w:t>
            </w:r>
          </w:p>
        </w:tc>
      </w:tr>
      <w:tr w:rsidR="00D0584C" w14:paraId="336AB114" w14:textId="77777777" w:rsidTr="00752954">
        <w:tc>
          <w:tcPr>
            <w:tcW w:w="726" w:type="dxa"/>
          </w:tcPr>
          <w:p w14:paraId="471C0148" w14:textId="49FF443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1869F1B7" w14:textId="5CAC5F5C" w:rsidR="00D0584C" w:rsidRPr="00BC4264" w:rsidRDefault="000065F0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Environmental impact field remains blank for selected products.</w:t>
            </w:r>
          </w:p>
        </w:tc>
      </w:tr>
      <w:tr w:rsidR="00D0584C" w14:paraId="6DB63F89" w14:textId="77777777" w:rsidTr="00752954">
        <w:tc>
          <w:tcPr>
            <w:tcW w:w="726" w:type="dxa"/>
          </w:tcPr>
          <w:p w14:paraId="1F181D91" w14:textId="60E89053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7B32FA38" w14:textId="46DFFFD5" w:rsidR="00D0584C" w:rsidRPr="00BC4264" w:rsidRDefault="000065F0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Delay in generating analytical reports on sales trend.</w:t>
            </w:r>
          </w:p>
        </w:tc>
      </w:tr>
      <w:tr w:rsidR="00D0584C" w14:paraId="54CC8E6D" w14:textId="77777777" w:rsidTr="00752954">
        <w:tc>
          <w:tcPr>
            <w:tcW w:w="726" w:type="dxa"/>
          </w:tcPr>
          <w:p w14:paraId="03B05B17" w14:textId="54F5AFA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624" w:type="dxa"/>
          </w:tcPr>
          <w:p w14:paraId="1FA33FA0" w14:textId="1965B839" w:rsidR="00D0584C" w:rsidRPr="00BC4264" w:rsidRDefault="000065F0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Extended duration of certain transactions in the sales system during month-end.</w:t>
            </w:r>
          </w:p>
        </w:tc>
      </w:tr>
    </w:tbl>
    <w:p w14:paraId="1320E75B" w14:textId="77777777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05C7F" w14:textId="2CF93A92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54E272" w14:textId="311B2AE5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C6FE077" w14:textId="525F370E" w:rsidR="001C0B13" w:rsidRPr="00BC4264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4456"/>
        <w:gridCol w:w="4168"/>
      </w:tblGrid>
      <w:tr w:rsidR="00D52315" w:rsidRPr="00863184" w14:paraId="13B09A16" w14:textId="77777777" w:rsidTr="000C13DE">
        <w:tc>
          <w:tcPr>
            <w:tcW w:w="726" w:type="dxa"/>
          </w:tcPr>
          <w:p w14:paraId="4E9127B3" w14:textId="6B527F19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4456" w:type="dxa"/>
          </w:tcPr>
          <w:p w14:paraId="31ACD3D2" w14:textId="79AB995D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168" w:type="dxa"/>
          </w:tcPr>
          <w:p w14:paraId="4E46F84E" w14:textId="5E89C3BB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on-technical</w:t>
            </w:r>
            <w:r w:rsidR="00903B58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robably both</w:t>
            </w:r>
          </w:p>
        </w:tc>
      </w:tr>
      <w:tr w:rsidR="000065F0" w14:paraId="0D10D475" w14:textId="77777777" w:rsidTr="000C13DE">
        <w:tc>
          <w:tcPr>
            <w:tcW w:w="726" w:type="dxa"/>
          </w:tcPr>
          <w:p w14:paraId="7913F7FC" w14:textId="00704FAF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56" w:type="dxa"/>
          </w:tcPr>
          <w:p w14:paraId="0E1D6F05" w14:textId="5C05FD21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083764">
              <w:t>Expected delivery date not displayed correctly in the customer engagement mobile app.</w:t>
            </w:r>
          </w:p>
        </w:tc>
        <w:tc>
          <w:tcPr>
            <w:tcW w:w="4168" w:type="dxa"/>
          </w:tcPr>
          <w:p w14:paraId="1A38B8A8" w14:textId="265B4DAD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Probably Both</w:t>
            </w:r>
          </w:p>
        </w:tc>
      </w:tr>
      <w:tr w:rsidR="000065F0" w14:paraId="2ED10B78" w14:textId="77777777" w:rsidTr="000C13DE">
        <w:tc>
          <w:tcPr>
            <w:tcW w:w="726" w:type="dxa"/>
          </w:tcPr>
          <w:p w14:paraId="59B354A9" w14:textId="667D809D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56" w:type="dxa"/>
          </w:tcPr>
          <w:p w14:paraId="4FC3AE29" w14:textId="6CCCD113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083764">
              <w:t>Environmental impact field remains blank for selected products.</w:t>
            </w:r>
          </w:p>
        </w:tc>
        <w:tc>
          <w:tcPr>
            <w:tcW w:w="4168" w:type="dxa"/>
          </w:tcPr>
          <w:p w14:paraId="20FD41C6" w14:textId="0F5F2917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Issue</w:t>
            </w:r>
          </w:p>
        </w:tc>
      </w:tr>
      <w:tr w:rsidR="000065F0" w14:paraId="23C950C6" w14:textId="77777777" w:rsidTr="000C13DE">
        <w:tc>
          <w:tcPr>
            <w:tcW w:w="726" w:type="dxa"/>
          </w:tcPr>
          <w:p w14:paraId="24B1B976" w14:textId="77BBFF24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56" w:type="dxa"/>
          </w:tcPr>
          <w:p w14:paraId="5124A68D" w14:textId="087DA9EF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083764">
              <w:t>Delay in generating analytical reports on sales trend.</w:t>
            </w:r>
          </w:p>
        </w:tc>
        <w:tc>
          <w:tcPr>
            <w:tcW w:w="4168" w:type="dxa"/>
          </w:tcPr>
          <w:p w14:paraId="06166264" w14:textId="08079B62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Issue</w:t>
            </w:r>
          </w:p>
        </w:tc>
      </w:tr>
      <w:tr w:rsidR="000065F0" w14:paraId="2D8F6EF0" w14:textId="77777777" w:rsidTr="000C13DE">
        <w:tc>
          <w:tcPr>
            <w:tcW w:w="726" w:type="dxa"/>
          </w:tcPr>
          <w:p w14:paraId="7D2C897A" w14:textId="02380ECE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56" w:type="dxa"/>
          </w:tcPr>
          <w:p w14:paraId="30A30D73" w14:textId="57ECFC2E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083764">
              <w:t>Extended duration of certain transactions in the sales system during month-end.</w:t>
            </w:r>
          </w:p>
        </w:tc>
        <w:tc>
          <w:tcPr>
            <w:tcW w:w="4168" w:type="dxa"/>
          </w:tcPr>
          <w:p w14:paraId="7A47BFA1" w14:textId="08617E74" w:rsidR="000065F0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Issue</w:t>
            </w:r>
          </w:p>
        </w:tc>
      </w:tr>
    </w:tbl>
    <w:p w14:paraId="648D0303" w14:textId="03CF7588" w:rsidR="0018179D" w:rsidRPr="000065F0" w:rsidRDefault="00B4528A" w:rsidP="000065F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27248">
        <w:rPr>
          <w:rFonts w:ascii="Calibri" w:hAnsi="Calibri" w:cs="Calibri"/>
        </w:rPr>
        <w:t>5.1</w:t>
      </w:r>
      <w:r>
        <w:rPr>
          <w:rFonts w:ascii="Calibri" w:hAnsi="Calibri" w:cs="Calibri"/>
        </w:rPr>
        <w:t xml:space="preserve">.2 </w:t>
      </w:r>
      <w:r w:rsidR="00920AFE">
        <w:rPr>
          <w:rFonts w:ascii="Calibri" w:hAnsi="Calibri" w:cs="Calibri"/>
        </w:rPr>
        <w:t xml:space="preserve">Identify </w:t>
      </w:r>
      <w:r w:rsidR="001107AE">
        <w:rPr>
          <w:rFonts w:ascii="Calibri" w:hAnsi="Calibri" w:cs="Calibri"/>
        </w:rPr>
        <w:t>likely reasons</w:t>
      </w:r>
      <w:r w:rsidR="00E965F5">
        <w:rPr>
          <w:rFonts w:ascii="Calibri" w:hAnsi="Calibri" w:cs="Calibri"/>
        </w:rPr>
        <w:t xml:space="preserve"> and </w:t>
      </w:r>
      <w:r w:rsidR="00920AFE">
        <w:rPr>
          <w:rFonts w:ascii="Calibri" w:hAnsi="Calibri" w:cs="Calibri"/>
        </w:rPr>
        <w:t>resolution for the issues</w:t>
      </w:r>
      <w:r w:rsidR="006C5BD5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682"/>
        <w:gridCol w:w="1558"/>
        <w:gridCol w:w="4383"/>
      </w:tblGrid>
      <w:tr w:rsidR="00C20FB3" w14:paraId="66FE8B76" w14:textId="77777777" w:rsidTr="00C20FB3">
        <w:tc>
          <w:tcPr>
            <w:tcW w:w="727" w:type="dxa"/>
          </w:tcPr>
          <w:p w14:paraId="0324191B" w14:textId="7C7BD446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Serial No. </w:t>
            </w:r>
          </w:p>
        </w:tc>
        <w:tc>
          <w:tcPr>
            <w:tcW w:w="2682" w:type="dxa"/>
          </w:tcPr>
          <w:p w14:paraId="1AE3D809" w14:textId="45093569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1558" w:type="dxa"/>
          </w:tcPr>
          <w:p w14:paraId="31E37FBB" w14:textId="7DC7383E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Technical or Non-technical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Probably both</w:t>
            </w:r>
          </w:p>
        </w:tc>
        <w:tc>
          <w:tcPr>
            <w:tcW w:w="4383" w:type="dxa"/>
          </w:tcPr>
          <w:p w14:paraId="7FA7E4B9" w14:textId="4011A44F" w:rsidR="000A0495" w:rsidRPr="00BC4264" w:rsidRDefault="0035208E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Likely </w:t>
            </w:r>
            <w:r w:rsidR="009656CF">
              <w:rPr>
                <w:rFonts w:ascii="Calibri" w:hAnsi="Calibri" w:cs="Calibri"/>
                <w:b/>
                <w:bCs/>
                <w:sz w:val="22"/>
                <w:szCs w:val="22"/>
              </w:rPr>
              <w:t>reasons and r</w:t>
            </w:r>
            <w:r w:rsidR="000A0495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esolution</w:t>
            </w:r>
          </w:p>
        </w:tc>
      </w:tr>
      <w:tr w:rsidR="00C20FB3" w14:paraId="197CE6E3" w14:textId="77777777" w:rsidTr="00C20FB3">
        <w:tc>
          <w:tcPr>
            <w:tcW w:w="727" w:type="dxa"/>
          </w:tcPr>
          <w:p w14:paraId="4E390A41" w14:textId="1282864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682" w:type="dxa"/>
          </w:tcPr>
          <w:p w14:paraId="7D4B3806" w14:textId="0A7A8747" w:rsidR="00C20FB3" w:rsidRPr="000065F0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Expected Delivery Date displayed Issue</w:t>
            </w:r>
          </w:p>
        </w:tc>
        <w:tc>
          <w:tcPr>
            <w:tcW w:w="1558" w:type="dxa"/>
          </w:tcPr>
          <w:p w14:paraId="49B14B45" w14:textId="2756CDD2" w:rsidR="00C20FB3" w:rsidRPr="000065F0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Probably Both</w:t>
            </w:r>
          </w:p>
        </w:tc>
        <w:tc>
          <w:tcPr>
            <w:tcW w:w="4383" w:type="dxa"/>
          </w:tcPr>
          <w:p w14:paraId="38E57D87" w14:textId="65443523" w:rsidR="00C20FB3" w:rsidRPr="000065F0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 xml:space="preserve">Technical: </w:t>
            </w:r>
            <w:r w:rsidR="000065F0" w:rsidRPr="000065F0">
              <w:rPr>
                <w:rFonts w:ascii="Calibri" w:hAnsi="Calibri" w:cs="Calibri"/>
                <w:sz w:val="22"/>
                <w:szCs w:val="22"/>
              </w:rPr>
              <w:t>Configuration or integration issue affecting date display.</w:t>
            </w:r>
            <w:r w:rsidR="000065F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65F0" w:rsidRPr="000065F0">
              <w:rPr>
                <w:rFonts w:ascii="Calibri" w:hAnsi="Calibri" w:cs="Calibri"/>
                <w:sz w:val="22"/>
                <w:szCs w:val="22"/>
              </w:rPr>
              <w:t>Investigate and rectify configuration or integration issues.</w:t>
            </w:r>
          </w:p>
          <w:p w14:paraId="3D3E2648" w14:textId="77777777" w:rsidR="00C20FB3" w:rsidRPr="000065F0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1A1711B" w14:textId="39628A27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 xml:space="preserve">Non-technical: </w:t>
            </w:r>
            <w:r w:rsidR="000065F0" w:rsidRPr="000065F0">
              <w:rPr>
                <w:rFonts w:ascii="Calibri" w:hAnsi="Calibri" w:cs="Calibri"/>
                <w:sz w:val="22"/>
                <w:szCs w:val="22"/>
              </w:rPr>
              <w:t>Lack of user awareness or training.</w:t>
            </w:r>
            <w:r w:rsidR="000065F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65F0" w:rsidRPr="000065F0">
              <w:rPr>
                <w:rFonts w:ascii="Calibri" w:hAnsi="Calibri" w:cs="Calibri"/>
                <w:sz w:val="22"/>
                <w:szCs w:val="22"/>
              </w:rPr>
              <w:t>Conduct additional user training and enhance documentation.</w:t>
            </w:r>
          </w:p>
        </w:tc>
      </w:tr>
      <w:tr w:rsidR="00C20FB3" w14:paraId="6457785F" w14:textId="77777777" w:rsidTr="00C20FB3">
        <w:tc>
          <w:tcPr>
            <w:tcW w:w="727" w:type="dxa"/>
          </w:tcPr>
          <w:p w14:paraId="67B25047" w14:textId="25478D42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682" w:type="dxa"/>
          </w:tcPr>
          <w:p w14:paraId="3EBEAE60" w14:textId="41FE34DA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Environmental Impact Field blank Issue</w:t>
            </w:r>
          </w:p>
        </w:tc>
        <w:tc>
          <w:tcPr>
            <w:tcW w:w="1558" w:type="dxa"/>
          </w:tcPr>
          <w:p w14:paraId="34347902" w14:textId="31E743E0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Probably Both</w:t>
            </w:r>
          </w:p>
        </w:tc>
        <w:tc>
          <w:tcPr>
            <w:tcW w:w="4383" w:type="dxa"/>
          </w:tcPr>
          <w:p w14:paraId="47213A98" w14:textId="540DC3B0" w:rsidR="000065F0" w:rsidRPr="000065F0" w:rsidRDefault="000065F0" w:rsidP="000065F0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>Technical: Data integration or mapping issue.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065F0">
              <w:rPr>
                <w:rFonts w:ascii="Calibri" w:hAnsi="Calibri" w:cs="Calibri"/>
                <w:sz w:val="22"/>
                <w:szCs w:val="22"/>
              </w:rPr>
              <w:t>Investigate and correct data integration points.</w:t>
            </w:r>
          </w:p>
          <w:p w14:paraId="60D1A8B7" w14:textId="77777777" w:rsidR="000065F0" w:rsidRPr="000065F0" w:rsidRDefault="000065F0" w:rsidP="000065F0">
            <w:pPr>
              <w:spacing w:after="0" w:line="240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C131D4A" w14:textId="2FDC4808" w:rsidR="00C20FB3" w:rsidRPr="00BC4264" w:rsidRDefault="000065F0" w:rsidP="000065F0">
            <w:pPr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>Non-technical: Lack of user awareness or training.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065F0">
              <w:rPr>
                <w:rFonts w:ascii="Calibri" w:hAnsi="Calibri" w:cs="Calibri"/>
                <w:sz w:val="22"/>
                <w:szCs w:val="22"/>
              </w:rPr>
              <w:t>Conduct additional user training and improve documentation.</w:t>
            </w:r>
          </w:p>
        </w:tc>
      </w:tr>
      <w:tr w:rsidR="00C20FB3" w14:paraId="1D48CCF6" w14:textId="77777777" w:rsidTr="00C20FB3">
        <w:tc>
          <w:tcPr>
            <w:tcW w:w="727" w:type="dxa"/>
          </w:tcPr>
          <w:p w14:paraId="0AB1C236" w14:textId="4502D519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2682" w:type="dxa"/>
          </w:tcPr>
          <w:p w14:paraId="60744218" w14:textId="2063FF1D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Analytical Report Generation Delay</w:t>
            </w:r>
          </w:p>
        </w:tc>
        <w:tc>
          <w:tcPr>
            <w:tcW w:w="1558" w:type="dxa"/>
          </w:tcPr>
          <w:p w14:paraId="67188090" w14:textId="6A29ECCC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4383" w:type="dxa"/>
          </w:tcPr>
          <w:p w14:paraId="3208F918" w14:textId="0EEC2805" w:rsidR="00C20FB3" w:rsidRPr="00BC4264" w:rsidRDefault="000065F0" w:rsidP="00720EAC">
            <w:pPr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>Technical: Performance optimization required for report generation.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065F0">
              <w:rPr>
                <w:rFonts w:ascii="Calibri" w:hAnsi="Calibri" w:cs="Calibri"/>
                <w:sz w:val="22"/>
                <w:szCs w:val="22"/>
              </w:rPr>
              <w:t>Propose optimizations to enhance report generation speed.</w:t>
            </w:r>
          </w:p>
        </w:tc>
      </w:tr>
      <w:tr w:rsidR="00C20FB3" w14:paraId="504A909B" w14:textId="77777777" w:rsidTr="00C20FB3">
        <w:tc>
          <w:tcPr>
            <w:tcW w:w="727" w:type="dxa"/>
          </w:tcPr>
          <w:p w14:paraId="0CEBB889" w14:textId="18B5FBCC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682" w:type="dxa"/>
          </w:tcPr>
          <w:p w14:paraId="4A1317F7" w14:textId="70D79BA9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Extended Duration of Transactions during Month-Ends</w:t>
            </w:r>
          </w:p>
        </w:tc>
        <w:tc>
          <w:tcPr>
            <w:tcW w:w="1558" w:type="dxa"/>
          </w:tcPr>
          <w:p w14:paraId="598B4169" w14:textId="7C63F54F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</w:t>
            </w:r>
          </w:p>
        </w:tc>
        <w:tc>
          <w:tcPr>
            <w:tcW w:w="4383" w:type="dxa"/>
          </w:tcPr>
          <w:p w14:paraId="4E593B73" w14:textId="264D7439" w:rsidR="00C20FB3" w:rsidRPr="00BC4264" w:rsidRDefault="000065F0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>Technical: System load issues during peak periods.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065F0">
              <w:rPr>
                <w:rFonts w:ascii="Calibri" w:hAnsi="Calibri" w:cs="Calibri"/>
                <w:sz w:val="22"/>
                <w:szCs w:val="22"/>
              </w:rPr>
              <w:t>Recommend measures to optimize transaction processing time.</w:t>
            </w:r>
          </w:p>
        </w:tc>
      </w:tr>
    </w:tbl>
    <w:p w14:paraId="5AF936C9" w14:textId="10B9871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7F967B" w14:textId="77777777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0BA716C" w14:textId="77777777" w:rsidR="00D10EAF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B11763" w14:textId="77777777" w:rsidR="00D10EAF" w:rsidRPr="000507A7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DE93D72" w14:textId="2D3688BE" w:rsidR="00AB73D8" w:rsidRPr="000065F0" w:rsidRDefault="00315832" w:rsidP="000065F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61D10">
        <w:rPr>
          <w:rFonts w:ascii="Calibri" w:hAnsi="Calibri" w:cs="Calibri"/>
        </w:rPr>
        <w:t>5.1.</w:t>
      </w:r>
      <w:r>
        <w:rPr>
          <w:rFonts w:ascii="Calibri" w:hAnsi="Calibri" w:cs="Calibri"/>
        </w:rPr>
        <w:t>3</w:t>
      </w:r>
      <w:r w:rsidR="00AB73D8">
        <w:rPr>
          <w:rFonts w:ascii="Calibri" w:hAnsi="Calibri" w:cs="Calibri"/>
        </w:rPr>
        <w:t xml:space="preserve"> </w:t>
      </w:r>
      <w:r w:rsidR="00920AFE">
        <w:rPr>
          <w:rFonts w:ascii="Calibri" w:hAnsi="Calibri" w:cs="Calibri"/>
        </w:rPr>
        <w:t>Document the l</w:t>
      </w:r>
      <w:r w:rsidR="00212C94">
        <w:rPr>
          <w:rFonts w:ascii="Calibri" w:hAnsi="Calibri" w:cs="Calibri"/>
        </w:rPr>
        <w:t xml:space="preserve">essons </w:t>
      </w:r>
      <w:r w:rsidR="00920AFE">
        <w:rPr>
          <w:rFonts w:ascii="Calibri" w:hAnsi="Calibri" w:cs="Calibri"/>
        </w:rPr>
        <w:t>l</w:t>
      </w:r>
      <w:r w:rsidR="00212C94">
        <w:rPr>
          <w:rFonts w:ascii="Calibri" w:hAnsi="Calibri" w:cs="Calibri"/>
        </w:rPr>
        <w:t>earned</w:t>
      </w:r>
      <w:r w:rsidR="00577713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BC4264" w14:paraId="7964610F" w14:textId="77777777" w:rsidTr="00316A72">
        <w:tc>
          <w:tcPr>
            <w:tcW w:w="726" w:type="dxa"/>
          </w:tcPr>
          <w:p w14:paraId="495B2CAE" w14:textId="58E6B0E0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49CDDB56" w14:textId="253681DD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Lessons 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earned</w:t>
            </w:r>
          </w:p>
        </w:tc>
      </w:tr>
      <w:tr w:rsidR="00BC4264" w14:paraId="5D5F9886" w14:textId="77777777" w:rsidTr="00316A72">
        <w:tc>
          <w:tcPr>
            <w:tcW w:w="726" w:type="dxa"/>
          </w:tcPr>
          <w:p w14:paraId="1AEC6F18" w14:textId="5E207525" w:rsidR="00BC4264" w:rsidRPr="00065947" w:rsidRDefault="009C436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7B6E9BE5" w14:textId="2A703127" w:rsidR="00BC4264" w:rsidRPr="000065F0" w:rsidRDefault="000065F0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0065F0">
              <w:rPr>
                <w:rFonts w:ascii="Calibri" w:hAnsi="Calibri" w:cs="Calibri"/>
                <w:sz w:val="22"/>
                <w:szCs w:val="22"/>
              </w:rPr>
              <w:t>The delivery date issue in the customer engagement mobile app has highlighted the importance of thorough testing, especially for applications directly impacting customers.</w:t>
            </w:r>
          </w:p>
        </w:tc>
      </w:tr>
      <w:tr w:rsidR="00BC4264" w14:paraId="4FD93410" w14:textId="77777777" w:rsidTr="00316A72">
        <w:tc>
          <w:tcPr>
            <w:tcW w:w="726" w:type="dxa"/>
          </w:tcPr>
          <w:p w14:paraId="376B4218" w14:textId="7EE5A111" w:rsidR="00BC4264" w:rsidRPr="00065947" w:rsidRDefault="00D25ED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28D35E66" w14:textId="0D779409" w:rsidR="00BC4264" w:rsidRPr="00065947" w:rsidRDefault="006A69AF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6A69AF">
              <w:rPr>
                <w:rFonts w:ascii="Calibri" w:hAnsi="Calibri" w:cs="Calibri"/>
                <w:sz w:val="22"/>
                <w:szCs w:val="22"/>
              </w:rPr>
              <w:t>Non-technical issues like the blank environmental impact field emphasize the need for comprehensive user training and improved awareness initiatives.</w:t>
            </w:r>
          </w:p>
        </w:tc>
      </w:tr>
      <w:tr w:rsidR="00BC4264" w14:paraId="623E77B4" w14:textId="77777777" w:rsidTr="00316A72">
        <w:tc>
          <w:tcPr>
            <w:tcW w:w="726" w:type="dxa"/>
          </w:tcPr>
          <w:p w14:paraId="5AAF2ED1" w14:textId="0F4618AB" w:rsidR="00BC4264" w:rsidRPr="00065947" w:rsidRDefault="00316A72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0DA3DC13" w14:textId="2E6AB94D" w:rsidR="00BC4264" w:rsidRPr="00065947" w:rsidRDefault="006A69AF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 w:rsidRPr="006A69AF">
              <w:rPr>
                <w:rFonts w:ascii="Calibri" w:hAnsi="Calibri" w:cs="Calibri"/>
                <w:sz w:val="22"/>
                <w:szCs w:val="22"/>
              </w:rPr>
              <w:t>The delays in analytical report generation and month-end transactions underscore the importance of continuous performance optimization, even post-implementation.</w:t>
            </w:r>
          </w:p>
        </w:tc>
      </w:tr>
    </w:tbl>
    <w:p w14:paraId="159EB2B4" w14:textId="77777777" w:rsidR="00BC4264" w:rsidRPr="00BC4264" w:rsidRDefault="00BC4264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  <w:highlight w:val="yellow"/>
        </w:rPr>
      </w:pPr>
    </w:p>
    <w:sectPr w:rsidR="00BC4264" w:rsidRPr="00BC4264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AC59" w14:textId="77777777" w:rsidR="002D01CF" w:rsidRDefault="002D01CF">
      <w:pPr>
        <w:spacing w:after="0" w:line="240" w:lineRule="auto"/>
      </w:pPr>
      <w:r>
        <w:separator/>
      </w:r>
    </w:p>
  </w:endnote>
  <w:endnote w:type="continuationSeparator" w:id="0">
    <w:p w14:paraId="14D41666" w14:textId="77777777" w:rsidR="002D01CF" w:rsidRDefault="002D01CF">
      <w:pPr>
        <w:spacing w:after="0" w:line="240" w:lineRule="auto"/>
      </w:pPr>
      <w:r>
        <w:continuationSeparator/>
      </w:r>
    </w:p>
  </w:endnote>
  <w:endnote w:type="continuationNotice" w:id="1">
    <w:p w14:paraId="7642F062" w14:textId="77777777" w:rsidR="002D01CF" w:rsidRDefault="002D01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8C1B" w14:textId="77777777" w:rsidR="002D01CF" w:rsidRDefault="002D01CF">
      <w:pPr>
        <w:spacing w:after="0" w:line="240" w:lineRule="auto"/>
      </w:pPr>
      <w:r>
        <w:separator/>
      </w:r>
    </w:p>
  </w:footnote>
  <w:footnote w:type="continuationSeparator" w:id="0">
    <w:p w14:paraId="488967AA" w14:textId="77777777" w:rsidR="002D01CF" w:rsidRDefault="002D01CF">
      <w:pPr>
        <w:spacing w:after="0" w:line="240" w:lineRule="auto"/>
      </w:pPr>
      <w:r>
        <w:continuationSeparator/>
      </w:r>
    </w:p>
  </w:footnote>
  <w:footnote w:type="continuationNotice" w:id="1">
    <w:p w14:paraId="6485B9D1" w14:textId="77777777" w:rsidR="002D01CF" w:rsidRDefault="002D01C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  <w:num w:numId="4" w16cid:durableId="1790541127">
    <w:abstractNumId w:val="3"/>
  </w:num>
  <w:num w:numId="5" w16cid:durableId="226379109">
    <w:abstractNumId w:val="4"/>
  </w:num>
  <w:num w:numId="6" w16cid:durableId="194919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065F0"/>
    <w:rsid w:val="000240C5"/>
    <w:rsid w:val="00044E0A"/>
    <w:rsid w:val="000507A7"/>
    <w:rsid w:val="00065947"/>
    <w:rsid w:val="00082185"/>
    <w:rsid w:val="000A0495"/>
    <w:rsid w:val="000B2F4C"/>
    <w:rsid w:val="000C13DE"/>
    <w:rsid w:val="000D1937"/>
    <w:rsid w:val="000D6524"/>
    <w:rsid w:val="000F371D"/>
    <w:rsid w:val="000F6ADD"/>
    <w:rsid w:val="001107AE"/>
    <w:rsid w:val="001112CD"/>
    <w:rsid w:val="00114605"/>
    <w:rsid w:val="001155D9"/>
    <w:rsid w:val="00126FC2"/>
    <w:rsid w:val="00132834"/>
    <w:rsid w:val="00135457"/>
    <w:rsid w:val="0013574C"/>
    <w:rsid w:val="00137E96"/>
    <w:rsid w:val="00143341"/>
    <w:rsid w:val="0014485A"/>
    <w:rsid w:val="00147784"/>
    <w:rsid w:val="0014782C"/>
    <w:rsid w:val="00151368"/>
    <w:rsid w:val="00157EAC"/>
    <w:rsid w:val="0018179D"/>
    <w:rsid w:val="00190DFF"/>
    <w:rsid w:val="00193C7A"/>
    <w:rsid w:val="001B3027"/>
    <w:rsid w:val="001C0B13"/>
    <w:rsid w:val="001C2CFB"/>
    <w:rsid w:val="001D474E"/>
    <w:rsid w:val="001E47F7"/>
    <w:rsid w:val="00212C94"/>
    <w:rsid w:val="00212D12"/>
    <w:rsid w:val="00217C32"/>
    <w:rsid w:val="00250E54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2C06C6"/>
    <w:rsid w:val="002D01CF"/>
    <w:rsid w:val="002E0DF3"/>
    <w:rsid w:val="002F0108"/>
    <w:rsid w:val="00307D86"/>
    <w:rsid w:val="00312EE8"/>
    <w:rsid w:val="00315832"/>
    <w:rsid w:val="00316A72"/>
    <w:rsid w:val="00330905"/>
    <w:rsid w:val="0035208E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C7619"/>
    <w:rsid w:val="003D072E"/>
    <w:rsid w:val="003D0E23"/>
    <w:rsid w:val="003D37AD"/>
    <w:rsid w:val="003F0E74"/>
    <w:rsid w:val="00400B5D"/>
    <w:rsid w:val="00410DAB"/>
    <w:rsid w:val="0041284A"/>
    <w:rsid w:val="00430359"/>
    <w:rsid w:val="00432381"/>
    <w:rsid w:val="004533B8"/>
    <w:rsid w:val="00464990"/>
    <w:rsid w:val="0046503B"/>
    <w:rsid w:val="004B1C5C"/>
    <w:rsid w:val="004B7894"/>
    <w:rsid w:val="004B7C3D"/>
    <w:rsid w:val="004D4E03"/>
    <w:rsid w:val="004E5D76"/>
    <w:rsid w:val="004F2464"/>
    <w:rsid w:val="00505DE9"/>
    <w:rsid w:val="00513114"/>
    <w:rsid w:val="00515204"/>
    <w:rsid w:val="005352B1"/>
    <w:rsid w:val="005765A1"/>
    <w:rsid w:val="00577713"/>
    <w:rsid w:val="005A6D3D"/>
    <w:rsid w:val="005C3F45"/>
    <w:rsid w:val="005C7CCE"/>
    <w:rsid w:val="005D1172"/>
    <w:rsid w:val="005F427C"/>
    <w:rsid w:val="00602100"/>
    <w:rsid w:val="0060706B"/>
    <w:rsid w:val="00611838"/>
    <w:rsid w:val="00614DC8"/>
    <w:rsid w:val="006258F9"/>
    <w:rsid w:val="00632054"/>
    <w:rsid w:val="0064147D"/>
    <w:rsid w:val="00670530"/>
    <w:rsid w:val="00677813"/>
    <w:rsid w:val="006A62ED"/>
    <w:rsid w:val="006A69AF"/>
    <w:rsid w:val="006A7373"/>
    <w:rsid w:val="006B5545"/>
    <w:rsid w:val="006C1EE2"/>
    <w:rsid w:val="006C4137"/>
    <w:rsid w:val="006C5BD5"/>
    <w:rsid w:val="006D36E5"/>
    <w:rsid w:val="006D3808"/>
    <w:rsid w:val="006E0C09"/>
    <w:rsid w:val="006E5C24"/>
    <w:rsid w:val="00701A5B"/>
    <w:rsid w:val="0070316D"/>
    <w:rsid w:val="00720EAC"/>
    <w:rsid w:val="007215CE"/>
    <w:rsid w:val="00743187"/>
    <w:rsid w:val="00743404"/>
    <w:rsid w:val="00752954"/>
    <w:rsid w:val="007720A1"/>
    <w:rsid w:val="0078675E"/>
    <w:rsid w:val="007A13FE"/>
    <w:rsid w:val="007B581A"/>
    <w:rsid w:val="007B6E2F"/>
    <w:rsid w:val="007C2570"/>
    <w:rsid w:val="007C34CF"/>
    <w:rsid w:val="007C4E05"/>
    <w:rsid w:val="007C7492"/>
    <w:rsid w:val="007E6B28"/>
    <w:rsid w:val="007F1D03"/>
    <w:rsid w:val="0080166E"/>
    <w:rsid w:val="0080275F"/>
    <w:rsid w:val="00812BB3"/>
    <w:rsid w:val="00833FC2"/>
    <w:rsid w:val="00837673"/>
    <w:rsid w:val="008549ED"/>
    <w:rsid w:val="00863184"/>
    <w:rsid w:val="00867EE8"/>
    <w:rsid w:val="008737C0"/>
    <w:rsid w:val="008820DA"/>
    <w:rsid w:val="008A1FA0"/>
    <w:rsid w:val="008A739C"/>
    <w:rsid w:val="008B5E24"/>
    <w:rsid w:val="008B725B"/>
    <w:rsid w:val="008C0614"/>
    <w:rsid w:val="008C1708"/>
    <w:rsid w:val="008D02DF"/>
    <w:rsid w:val="008E5CC6"/>
    <w:rsid w:val="008F12EC"/>
    <w:rsid w:val="00903B58"/>
    <w:rsid w:val="00903DE4"/>
    <w:rsid w:val="00906980"/>
    <w:rsid w:val="00920AFE"/>
    <w:rsid w:val="00924E61"/>
    <w:rsid w:val="00926341"/>
    <w:rsid w:val="00941C67"/>
    <w:rsid w:val="00950622"/>
    <w:rsid w:val="00964849"/>
    <w:rsid w:val="009656CF"/>
    <w:rsid w:val="0098502D"/>
    <w:rsid w:val="00990A1E"/>
    <w:rsid w:val="009A2756"/>
    <w:rsid w:val="009B0CA4"/>
    <w:rsid w:val="009B37B3"/>
    <w:rsid w:val="009B7D5B"/>
    <w:rsid w:val="009C16F7"/>
    <w:rsid w:val="009C2344"/>
    <w:rsid w:val="009C4369"/>
    <w:rsid w:val="009C5083"/>
    <w:rsid w:val="009D4C5C"/>
    <w:rsid w:val="009F0F74"/>
    <w:rsid w:val="00A0356A"/>
    <w:rsid w:val="00A14EEB"/>
    <w:rsid w:val="00A22378"/>
    <w:rsid w:val="00A30B01"/>
    <w:rsid w:val="00A317D4"/>
    <w:rsid w:val="00A33822"/>
    <w:rsid w:val="00A733F1"/>
    <w:rsid w:val="00A76043"/>
    <w:rsid w:val="00A83090"/>
    <w:rsid w:val="00AA4C65"/>
    <w:rsid w:val="00AB0D90"/>
    <w:rsid w:val="00AB73D8"/>
    <w:rsid w:val="00AB7F00"/>
    <w:rsid w:val="00AC0C60"/>
    <w:rsid w:val="00AC57DA"/>
    <w:rsid w:val="00AF00D5"/>
    <w:rsid w:val="00AF3661"/>
    <w:rsid w:val="00AF3DAA"/>
    <w:rsid w:val="00AF4450"/>
    <w:rsid w:val="00B03C19"/>
    <w:rsid w:val="00B20C80"/>
    <w:rsid w:val="00B40EA8"/>
    <w:rsid w:val="00B4528A"/>
    <w:rsid w:val="00B53AC5"/>
    <w:rsid w:val="00B66B96"/>
    <w:rsid w:val="00B724BC"/>
    <w:rsid w:val="00B742CA"/>
    <w:rsid w:val="00B76BE7"/>
    <w:rsid w:val="00B77011"/>
    <w:rsid w:val="00B81DD8"/>
    <w:rsid w:val="00B82841"/>
    <w:rsid w:val="00B936EC"/>
    <w:rsid w:val="00BA1683"/>
    <w:rsid w:val="00BA438D"/>
    <w:rsid w:val="00BB68FE"/>
    <w:rsid w:val="00BC4264"/>
    <w:rsid w:val="00BC4349"/>
    <w:rsid w:val="00BE5378"/>
    <w:rsid w:val="00BF21D3"/>
    <w:rsid w:val="00C0594A"/>
    <w:rsid w:val="00C20FB3"/>
    <w:rsid w:val="00C25673"/>
    <w:rsid w:val="00C32112"/>
    <w:rsid w:val="00C327D8"/>
    <w:rsid w:val="00C51629"/>
    <w:rsid w:val="00C62C46"/>
    <w:rsid w:val="00C63271"/>
    <w:rsid w:val="00C64976"/>
    <w:rsid w:val="00C65AA6"/>
    <w:rsid w:val="00C95C25"/>
    <w:rsid w:val="00CA478D"/>
    <w:rsid w:val="00D0584C"/>
    <w:rsid w:val="00D10EAF"/>
    <w:rsid w:val="00D149CD"/>
    <w:rsid w:val="00D15502"/>
    <w:rsid w:val="00D169F1"/>
    <w:rsid w:val="00D25ED9"/>
    <w:rsid w:val="00D31012"/>
    <w:rsid w:val="00D378DC"/>
    <w:rsid w:val="00D420D9"/>
    <w:rsid w:val="00D52315"/>
    <w:rsid w:val="00D60192"/>
    <w:rsid w:val="00D60E6E"/>
    <w:rsid w:val="00D63D30"/>
    <w:rsid w:val="00D97FAA"/>
    <w:rsid w:val="00DB552E"/>
    <w:rsid w:val="00DD4CED"/>
    <w:rsid w:val="00DD506C"/>
    <w:rsid w:val="00DE45B1"/>
    <w:rsid w:val="00DF2756"/>
    <w:rsid w:val="00DF4316"/>
    <w:rsid w:val="00DF5220"/>
    <w:rsid w:val="00E0359B"/>
    <w:rsid w:val="00E15973"/>
    <w:rsid w:val="00E27F31"/>
    <w:rsid w:val="00E31E75"/>
    <w:rsid w:val="00E51FB3"/>
    <w:rsid w:val="00E577C1"/>
    <w:rsid w:val="00E60A17"/>
    <w:rsid w:val="00E61DDC"/>
    <w:rsid w:val="00E92C7C"/>
    <w:rsid w:val="00E965F5"/>
    <w:rsid w:val="00EA7C7E"/>
    <w:rsid w:val="00EC0A13"/>
    <w:rsid w:val="00EE7D80"/>
    <w:rsid w:val="00F26527"/>
    <w:rsid w:val="00F27248"/>
    <w:rsid w:val="00F52621"/>
    <w:rsid w:val="00F61D10"/>
    <w:rsid w:val="00F73362"/>
    <w:rsid w:val="00F7691E"/>
    <w:rsid w:val="00F77EDB"/>
    <w:rsid w:val="00F83ED9"/>
    <w:rsid w:val="00FA19C4"/>
    <w:rsid w:val="00FA5C81"/>
    <w:rsid w:val="00FB0302"/>
    <w:rsid w:val="00FC1ED3"/>
    <w:rsid w:val="00FC62A8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Elson</cp:lastModifiedBy>
  <cp:revision>292</cp:revision>
  <dcterms:created xsi:type="dcterms:W3CDTF">2022-12-05T05:01:00Z</dcterms:created>
  <dcterms:modified xsi:type="dcterms:W3CDTF">2024-02-22T00:52:00Z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