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Planejamento Estratégico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Alguma coisa que faço bem ou aprendi a fazer bem: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289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estratégias que usei para obter sucesso foram: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right="289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Alguma coisa que faço bem ou aprendi a fazer bem: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289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estratégias que usei para obter sucesso foram: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right="289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Alguma coisa que faço bem ou aprendi a fazer bem: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estratégias que usei para obter sucesso foram: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firstLine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firstLine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firstLine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firstLine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firstLine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Alguma coisa que ainda não sei fazer bem ou gostaria de aprender: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Estratégias úteis para obter sucesso foram: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BSM-GM - Apostila 1 - Plano Estratégico</w:t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OZPJb94hBFihozs6tX/oQ1uxg==">AMUW2mVo5GEfmi+IVQ5WsO1HED8wj4F0yvXq1NJBLFQt9rjUm5pCy+TD4Pv+bFArN6FezRJuNaT/b+DPFjWXcnyTJRIf5FOCLTwDRNmAmtX8XsnkoMu09vrd91jbx7ExX0d+1lNay1jf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