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955CE0" w:rsidP="00DF4D15">
      <w:pPr>
        <w:pStyle w:val="a3"/>
        <w:numPr>
          <w:ilvl w:val="0"/>
          <w:numId w:val="1"/>
        </w:numPr>
        <w:ind w:firstLineChars="0"/>
      </w:pPr>
      <w:hyperlink r:id="rId6" w:history="1">
        <w:r w:rsidR="006E379E">
          <w:rPr>
            <w:rStyle w:val="a4"/>
          </w:rPr>
          <w:t>微前端-最容易看懂的微前端知识 - 知乎 (zhihu.com)</w:t>
        </w:r>
      </w:hyperlink>
    </w:p>
    <w:p w14:paraId="319A77B7" w14:textId="1ABA61F1" w:rsidR="00B84243" w:rsidRDefault="004B3CFB" w:rsidP="00B84243">
      <w:pPr>
        <w:pStyle w:val="a3"/>
        <w:numPr>
          <w:ilvl w:val="0"/>
          <w:numId w:val="1"/>
        </w:numPr>
        <w:ind w:firstLineChars="0"/>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p>
    <w:p w14:paraId="7B4C14C4" w14:textId="25206A6C" w:rsidR="00955CE0" w:rsidRDefault="00955CE0" w:rsidP="00B84243">
      <w:pPr>
        <w:pStyle w:val="a3"/>
        <w:numPr>
          <w:ilvl w:val="0"/>
          <w:numId w:val="1"/>
        </w:numPr>
        <w:ind w:firstLineChars="0"/>
      </w:pPr>
      <w:r>
        <w:rPr>
          <w:rFonts w:hint="eastAsia"/>
        </w:rPr>
        <w:t>URL和URI区别：URI包含URL，URL只包括到路由地址，URI包括到查询参数</w:t>
      </w:r>
      <w:bookmarkStart w:id="0" w:name="_GoBack"/>
      <w:bookmarkEnd w:id="0"/>
    </w:p>
    <w:sectPr w:rsidR="00955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38229E"/>
    <w:rsid w:val="004020EB"/>
    <w:rsid w:val="004B3CFB"/>
    <w:rsid w:val="006E379E"/>
    <w:rsid w:val="007E5BD5"/>
    <w:rsid w:val="008C2856"/>
    <w:rsid w:val="008E6C86"/>
    <w:rsid w:val="00955CE0"/>
    <w:rsid w:val="00B84243"/>
    <w:rsid w:val="00DF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8</cp:revision>
  <dcterms:created xsi:type="dcterms:W3CDTF">2021-12-28T13:14:00Z</dcterms:created>
  <dcterms:modified xsi:type="dcterms:W3CDTF">2022-01-07T09:45:00Z</dcterms:modified>
</cp:coreProperties>
</file>