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ascii="黑体" w:eastAsia="黑体"/>
          <w:sz w:val="20"/>
          <w:szCs w:val="11"/>
        </w:rPr>
      </w:pPr>
      <w:r>
        <w:rPr>
          <w:rFonts w:hint="eastAsia" w:ascii="黑体" w:eastAsia="黑体"/>
          <w:sz w:val="20"/>
          <w:szCs w:val="11"/>
        </w:rPr>
        <w:t>2017年高教社杯全国大学生数学建模竞赛题目</w:t>
      </w:r>
    </w:p>
    <w:p>
      <w:pPr>
        <w:jc w:val="center"/>
        <w:rPr>
          <w:rFonts w:ascii="华文楷体" w:hAnsi="华文楷体" w:eastAsia="华文楷体"/>
          <w:color w:val="0000CC"/>
          <w:sz w:val="18"/>
          <w:szCs w:val="18"/>
        </w:rPr>
      </w:pPr>
      <w:r>
        <w:rPr>
          <w:rFonts w:hint="eastAsia" w:ascii="华文楷体" w:hAnsi="华文楷体" w:eastAsia="华文楷体"/>
          <w:color w:val="0000CC"/>
          <w:sz w:val="18"/>
          <w:szCs w:val="18"/>
        </w:rPr>
        <w:t>（请先阅读“全国大学生数学建模竞赛论文格式规范”）</w:t>
      </w:r>
    </w:p>
    <w:p>
      <w:pPr>
        <w:adjustRightInd w:val="0"/>
        <w:snapToGrid w:val="0"/>
        <w:spacing w:line="240" w:lineRule="atLeast"/>
        <w:jc w:val="center"/>
        <w:rPr>
          <w:b/>
          <w:sz w:val="16"/>
          <w:szCs w:val="13"/>
        </w:rPr>
      </w:pPr>
      <w:r>
        <w:rPr>
          <w:b/>
          <w:sz w:val="11"/>
          <w:szCs w:val="13"/>
        </w:rPr>
        <w:pict>
          <v:line id="Line 2" o:spid="_x0000_s1026" o:spt="20" style="position:absolute;left:0pt;margin-left:0pt;margin-top:6.8pt;height:0.6pt;width:414pt;z-index:251658240;mso-width-relative:page;mso-height-relative:page;" coordsize="21600,21600">
            <v:path arrowok="t"/>
            <v:fill focussize="0,0"/>
            <v:stroke weight="4.5pt" linestyle="thinThick"/>
            <v:imagedata o:title=""/>
            <o:lock v:ext="edit"/>
          </v:line>
        </w:pict>
      </w:r>
    </w:p>
    <w:p>
      <w:pPr>
        <w:jc w:val="center"/>
        <w:outlineLvl w:val="0"/>
        <w:rPr>
          <w:rFonts w:ascii="Times New Roman" w:hAnsi="Times New Roman" w:eastAsia="黑体" w:cs="Times New Roman"/>
          <w:b/>
          <w:bCs/>
          <w:sz w:val="20"/>
          <w:szCs w:val="20"/>
        </w:rPr>
      </w:pPr>
      <w:bookmarkStart w:id="0" w:name="OLE_LINK51"/>
      <w:bookmarkStart w:id="1" w:name="OLE_LINK52"/>
      <w:r>
        <w:rPr>
          <w:rFonts w:ascii="Times New Roman" w:hAnsi="Times New Roman" w:eastAsia="黑体" w:cs="Times New Roman"/>
          <w:b/>
          <w:bCs/>
          <w:sz w:val="20"/>
          <w:szCs w:val="20"/>
        </w:rPr>
        <w:t>A</w:t>
      </w:r>
      <w:r>
        <w:rPr>
          <w:rFonts w:hint="eastAsia" w:ascii="Times New Roman" w:hAnsi="Times New Roman" w:eastAsia="黑体" w:cs="Times New Roman"/>
          <w:b/>
          <w:bCs/>
          <w:sz w:val="20"/>
          <w:szCs w:val="20"/>
        </w:rPr>
        <w:t xml:space="preserve">题  </w:t>
      </w:r>
      <w:r>
        <w:rPr>
          <w:rFonts w:ascii="Times New Roman" w:hAnsi="Times New Roman" w:eastAsia="黑体" w:cs="Times New Roman"/>
          <w:b/>
          <w:bCs/>
          <w:sz w:val="20"/>
          <w:szCs w:val="20"/>
        </w:rPr>
        <w:t>CT系统</w:t>
      </w:r>
      <w:r>
        <w:rPr>
          <w:rFonts w:hint="eastAsia" w:ascii="Times New Roman" w:hAnsi="Times New Roman" w:eastAsia="黑体" w:cs="黑体"/>
          <w:b/>
          <w:bCs/>
          <w:sz w:val="20"/>
          <w:szCs w:val="20"/>
        </w:rPr>
        <w:t>参数标定及成像</w:t>
      </w:r>
      <w:bookmarkEnd w:id="0"/>
      <w:bookmarkEnd w:id="1"/>
    </w:p>
    <w:p>
      <w:pPr>
        <w:ind w:firstLine="260" w:firstLineChars="200"/>
        <w:rPr>
          <w:rFonts w:ascii="Times New Roman" w:hAnsi="Times New Roman" w:cs="Times New Roman"/>
          <w:color w:val="FF0000"/>
          <w:sz w:val="13"/>
          <w:szCs w:val="13"/>
        </w:rPr>
      </w:pPr>
      <w:r>
        <w:rPr>
          <w:rFonts w:hint="eastAsia" w:ascii="Times New Roman" w:hAnsi="Times New Roman" w:cs="宋体"/>
          <w:vanish/>
          <w:sz w:val="13"/>
          <w:szCs w:val="13"/>
        </w:rPr>
        <w:t>应用</w:t>
      </w:r>
      <w:r>
        <w:rPr>
          <w:rFonts w:ascii="Times New Roman" w:hAnsi="Times New Roman" w:cs="Times New Roman"/>
          <w:vanish/>
          <w:sz w:val="13"/>
          <w:szCs w:val="13"/>
        </w:rPr>
        <w:t>ng yong</w:t>
      </w:r>
      <w:r>
        <w:rPr>
          <w:rFonts w:ascii="Times New Roman" w:hAnsi="Times New Roman" w:cs="Times New Roman"/>
          <w:vanish/>
          <w:sz w:val="13"/>
          <w:szCs w:val="13"/>
        </w:rPr>
        <w:pgNum/>
      </w:r>
      <w:r>
        <w:rPr>
          <w:rFonts w:ascii="Times New Roman" w:hAnsi="Times New Roman" w:cs="Times New Roman"/>
          <w:vanish/>
          <w:sz w:val="13"/>
          <w:szCs w:val="13"/>
        </w:rPr>
        <w:t>﷽﷽﷽﷽﷽﷽﷽﷽﷽﷽﷽﷽﷽﷽﷽﷽﷽﷽﷽﷽</w:t>
      </w:r>
      <w:r>
        <w:rPr>
          <w:rFonts w:hint="eastAsia" w:ascii="Times New Roman" w:hAnsi="Times New Roman" w:cs="宋体"/>
          <w:vanish/>
          <w:sz w:val="13"/>
          <w:szCs w:val="13"/>
        </w:rPr>
        <w:t>构造</w:t>
      </w:r>
      <w:r>
        <w:rPr>
          <w:rFonts w:ascii="Times New Roman" w:hAnsi="Times New Roman" w:cs="Times New Roman"/>
          <w:vanish/>
          <w:sz w:val="13"/>
          <w:szCs w:val="13"/>
        </w:rPr>
        <w:t xml:space="preserve">ient in parabolic problems[J]. </w:t>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vanish/>
          <w:sz w:val="13"/>
          <w:szCs w:val="13"/>
        </w:rPr>
        <w:pgNum/>
      </w:r>
      <w:r>
        <w:rPr>
          <w:rFonts w:ascii="Times New Roman" w:hAnsi="Times New Roman" w:cs="Times New Roman"/>
          <w:sz w:val="13"/>
          <w:szCs w:val="13"/>
        </w:rPr>
        <w:t>CT</w:t>
      </w:r>
      <w:r>
        <w:rPr>
          <w:rFonts w:hint="eastAsia" w:ascii="Times New Roman" w:hAnsi="Times New Roman" w:cs="Times New Roman"/>
          <w:sz w:val="13"/>
          <w:szCs w:val="13"/>
        </w:rPr>
        <w:t>(Computed Tomography)</w:t>
      </w:r>
      <w:r>
        <w:rPr>
          <w:rFonts w:hint="eastAsia" w:ascii="Times New Roman" w:hAnsi="Times New Roman" w:cs="宋体"/>
          <w:sz w:val="13"/>
          <w:szCs w:val="13"/>
        </w:rPr>
        <w:t>可以</w:t>
      </w:r>
      <w:r>
        <w:rPr>
          <w:rFonts w:hint="eastAsia" w:ascii="Times New Roman" w:hAnsi="Times New Roman" w:cs="宋体"/>
          <w:kern w:val="0"/>
          <w:sz w:val="13"/>
          <w:szCs w:val="13"/>
        </w:rPr>
        <w:t>在不破坏样品的情况下，利用样品对射线能量的吸收特性对生物组织和工程材料的样品进行断层成像，由此获取样品内部的结构信息。</w:t>
      </w:r>
      <w:r>
        <w:rPr>
          <w:rFonts w:hint="eastAsia" w:ascii="Times New Roman" w:hAnsi="Times New Roman" w:cs="宋体"/>
          <w:sz w:val="13"/>
          <w:szCs w:val="13"/>
        </w:rPr>
        <w:t>一种典型的二维</w:t>
      </w:r>
      <w:r>
        <w:rPr>
          <w:rFonts w:ascii="Times New Roman" w:hAnsi="Times New Roman" w:cs="Times New Roman"/>
          <w:sz w:val="13"/>
          <w:szCs w:val="13"/>
        </w:rPr>
        <w:t>CT</w:t>
      </w:r>
      <w:r>
        <w:rPr>
          <w:rFonts w:hint="eastAsia" w:ascii="Times New Roman" w:hAnsi="Times New Roman" w:cs="宋体"/>
          <w:sz w:val="13"/>
          <w:szCs w:val="13"/>
        </w:rPr>
        <w:t>系统如图</w:t>
      </w:r>
      <w:r>
        <w:rPr>
          <w:rFonts w:ascii="Times New Roman" w:hAnsi="Times New Roman" w:cs="Times New Roman"/>
          <w:sz w:val="13"/>
          <w:szCs w:val="13"/>
        </w:rPr>
        <w:t>1</w:t>
      </w:r>
      <w:r>
        <w:rPr>
          <w:rFonts w:hint="eastAsia" w:ascii="Times New Roman" w:hAnsi="Times New Roman" w:cs="宋体"/>
          <w:sz w:val="13"/>
          <w:szCs w:val="13"/>
        </w:rPr>
        <w:t>所示，平行入射的</w:t>
      </w:r>
      <w:r>
        <w:rPr>
          <w:rFonts w:ascii="Times New Roman" w:hAnsi="Times New Roman" w:cs="Times New Roman"/>
          <w:sz w:val="13"/>
          <w:szCs w:val="13"/>
        </w:rPr>
        <w:t>X</w:t>
      </w:r>
      <w:r>
        <w:rPr>
          <w:rFonts w:hint="eastAsia" w:ascii="Times New Roman" w:hAnsi="Times New Roman" w:cs="宋体"/>
          <w:sz w:val="13"/>
          <w:szCs w:val="13"/>
        </w:rPr>
        <w:t>射线垂直于探测器平面，每个探测器单元看成一个接收点，且等距排列。</w:t>
      </w:r>
      <w:bookmarkStart w:id="2" w:name="OLE_LINK77"/>
      <w:bookmarkStart w:id="3" w:name="OLE_LINK78"/>
      <w:bookmarkStart w:id="4" w:name="OLE_LINK66"/>
      <w:bookmarkStart w:id="5" w:name="OLE_LINK65"/>
      <w:r>
        <w:rPr>
          <w:rFonts w:hint="eastAsia" w:ascii="Times New Roman" w:hAnsi="Times New Roman" w:cs="宋体"/>
          <w:sz w:val="13"/>
          <w:szCs w:val="13"/>
        </w:rPr>
        <w:t>X射线的发射器和探测器相对位置固定不变</w:t>
      </w:r>
      <w:bookmarkEnd w:id="2"/>
      <w:bookmarkEnd w:id="3"/>
      <w:r>
        <w:rPr>
          <w:rFonts w:hint="eastAsia" w:ascii="Times New Roman" w:hAnsi="Times New Roman" w:cs="宋体"/>
          <w:sz w:val="13"/>
          <w:szCs w:val="13"/>
        </w:rPr>
        <w:t>，整个发射-接收系统绕某固定的旋转中心逆时针旋转</w:t>
      </w:r>
      <w:r>
        <w:rPr>
          <w:rFonts w:ascii="Times New Roman" w:hAnsi="Times New Roman" w:cs="Times New Roman"/>
          <w:sz w:val="13"/>
          <w:szCs w:val="13"/>
        </w:rPr>
        <w:t>180</w:t>
      </w:r>
      <w:r>
        <w:rPr>
          <w:rFonts w:hint="eastAsia" w:ascii="Times New Roman" w:hAnsi="Times New Roman" w:cs="宋体"/>
          <w:sz w:val="13"/>
          <w:szCs w:val="13"/>
        </w:rPr>
        <w:t>次。对每一个X射线方向，</w:t>
      </w:r>
      <w:r>
        <w:rPr>
          <w:rFonts w:hint="eastAsia" w:ascii="Times New Roman" w:hAnsi="Times New Roman" w:cs="宋体"/>
          <w:color w:val="000000"/>
          <w:sz w:val="13"/>
          <w:szCs w:val="13"/>
        </w:rPr>
        <w:t>在具有</w:t>
      </w:r>
      <w:r>
        <w:rPr>
          <w:rFonts w:ascii="Times New Roman" w:hAnsi="Times New Roman" w:cs="Times New Roman"/>
          <w:color w:val="000000"/>
          <w:sz w:val="13"/>
          <w:szCs w:val="13"/>
        </w:rPr>
        <w:t>512</w:t>
      </w:r>
      <w:r>
        <w:rPr>
          <w:rFonts w:hint="eastAsia" w:ascii="Times New Roman" w:hAnsi="Times New Roman" w:cs="宋体"/>
          <w:color w:val="000000"/>
          <w:sz w:val="13"/>
          <w:szCs w:val="13"/>
        </w:rPr>
        <w:t>个等距单元的探测器上测量</w:t>
      </w:r>
      <w:r>
        <w:rPr>
          <w:rFonts w:hint="eastAsia" w:ascii="Times New Roman" w:hAnsi="Times New Roman" w:cs="宋体"/>
          <w:sz w:val="13"/>
          <w:szCs w:val="13"/>
        </w:rPr>
        <w:t>经位置固定不动的</w:t>
      </w:r>
      <w:r>
        <w:rPr>
          <w:rFonts w:hint="eastAsia" w:ascii="Times New Roman" w:hAnsi="Times New Roman" w:cs="宋体"/>
          <w:sz w:val="13"/>
          <w:szCs w:val="13"/>
          <w:highlight w:val="yellow"/>
        </w:rPr>
        <w:t>二维待检测介质</w:t>
      </w:r>
      <w:r>
        <w:rPr>
          <w:rFonts w:hint="eastAsia" w:ascii="Times New Roman" w:hAnsi="Times New Roman" w:cs="宋体"/>
          <w:color w:val="FF0000"/>
          <w:sz w:val="13"/>
          <w:szCs w:val="13"/>
          <w:highlight w:val="none"/>
          <w:lang w:eastAsia="zh-CN"/>
        </w:rPr>
        <w:t>（</w:t>
      </w:r>
      <w:r>
        <w:rPr>
          <w:rFonts w:hint="eastAsia" w:ascii="Times New Roman" w:hAnsi="Times New Roman" w:cs="宋体"/>
          <w:color w:val="FF0000"/>
          <w:sz w:val="13"/>
          <w:szCs w:val="13"/>
          <w:highlight w:val="none"/>
          <w:lang w:val="en-US" w:eastAsia="zh-CN"/>
        </w:rPr>
        <w:t>实际就是断层，具有一定的厚度</w:t>
      </w:r>
      <w:r>
        <w:rPr>
          <w:rFonts w:hint="eastAsia" w:ascii="Times New Roman" w:hAnsi="Times New Roman" w:cs="宋体"/>
          <w:color w:val="FF0000"/>
          <w:sz w:val="13"/>
          <w:szCs w:val="13"/>
          <w:highlight w:val="none"/>
          <w:lang w:eastAsia="zh-CN"/>
        </w:rPr>
        <w:t>）</w:t>
      </w:r>
      <w:r>
        <w:rPr>
          <w:rFonts w:hint="eastAsia" w:ascii="Times New Roman" w:hAnsi="Times New Roman" w:cs="宋体"/>
          <w:sz w:val="13"/>
          <w:szCs w:val="13"/>
        </w:rPr>
        <w:t>吸收衰减后的射线能量，并经过增益等处理后得到</w:t>
      </w:r>
      <w:r>
        <w:rPr>
          <w:rFonts w:ascii="Times New Roman" w:hAnsi="Times New Roman" w:cs="Times New Roman"/>
          <w:sz w:val="13"/>
          <w:szCs w:val="13"/>
        </w:rPr>
        <w:t>180</w:t>
      </w:r>
      <w:r>
        <w:rPr>
          <w:rFonts w:hint="eastAsia" w:ascii="Times New Roman" w:hAnsi="Times New Roman" w:cs="宋体"/>
          <w:sz w:val="13"/>
          <w:szCs w:val="13"/>
        </w:rPr>
        <w:t>组接收信息。</w:t>
      </w:r>
      <w:r>
        <w:rPr>
          <w:rFonts w:hint="eastAsia" w:ascii="Times New Roman" w:hAnsi="Times New Roman" w:cs="宋体"/>
          <w:color w:val="FF0000"/>
          <w:sz w:val="13"/>
          <w:szCs w:val="13"/>
          <w:lang w:eastAsia="zh-CN"/>
        </w:rPr>
        <w:t>（</w:t>
      </w:r>
      <w:r>
        <w:rPr>
          <w:rFonts w:hint="eastAsia" w:ascii="Times New Roman" w:hAnsi="Times New Roman" w:cs="宋体"/>
          <w:color w:val="FF0000"/>
          <w:sz w:val="13"/>
          <w:szCs w:val="13"/>
          <w:lang w:val="en-US" w:eastAsia="zh-CN"/>
        </w:rPr>
        <w:t>补充：体素，在物体内认为分割成的很小的体积元，对划分好的体素要进行空间位置编码，重建CT像任务就是求出每个体素的衰减系数值，获取二维分布矩阵。像素与体素要一一对应</w:t>
      </w:r>
      <w:r>
        <w:rPr>
          <w:rFonts w:hint="eastAsia" w:ascii="Times New Roman" w:hAnsi="Times New Roman" w:cs="宋体"/>
          <w:color w:val="FF0000"/>
          <w:sz w:val="13"/>
          <w:szCs w:val="13"/>
          <w:lang w:eastAsia="zh-CN"/>
        </w:rPr>
        <w:t>）</w:t>
      </w:r>
    </w:p>
    <w:bookmarkEnd w:id="4"/>
    <w:bookmarkEnd w:id="5"/>
    <w:p>
      <w:pPr>
        <w:ind w:firstLine="260" w:firstLineChars="200"/>
        <w:rPr>
          <w:rFonts w:ascii="Times New Roman" w:hAnsi="Times New Roman" w:cs="宋体"/>
          <w:kern w:val="0"/>
          <w:sz w:val="13"/>
          <w:szCs w:val="13"/>
        </w:rPr>
      </w:pPr>
      <w:r>
        <w:rPr>
          <w:rFonts w:ascii="Times New Roman" w:hAnsi="Times New Roman" w:cs="Times New Roman"/>
          <w:kern w:val="0"/>
          <w:sz w:val="13"/>
          <w:szCs w:val="13"/>
        </w:rPr>
        <w:t>CT</w:t>
      </w:r>
      <w:r>
        <w:rPr>
          <w:rFonts w:hint="eastAsia" w:ascii="Times New Roman" w:hAnsi="Times New Roman" w:cs="宋体"/>
          <w:kern w:val="0"/>
          <w:sz w:val="13"/>
          <w:szCs w:val="13"/>
        </w:rPr>
        <w:t>系统安装时往往存在误差，从而影响成像质量，因此需要对安装好的</w:t>
      </w:r>
      <w:r>
        <w:rPr>
          <w:rFonts w:ascii="Times New Roman" w:hAnsi="Times New Roman" w:cs="Times New Roman"/>
          <w:kern w:val="0"/>
          <w:sz w:val="13"/>
          <w:szCs w:val="13"/>
        </w:rPr>
        <w:t>CT</w:t>
      </w:r>
      <w:r>
        <w:rPr>
          <w:rFonts w:hint="eastAsia" w:ascii="Times New Roman" w:hAnsi="Times New Roman" w:cs="宋体"/>
          <w:kern w:val="0"/>
          <w:sz w:val="13"/>
          <w:szCs w:val="13"/>
        </w:rPr>
        <w:t>系统进行参数标定，即借助于已知结构的样品（称为模板）</w:t>
      </w:r>
      <w:r>
        <w:rPr>
          <w:rFonts w:hint="eastAsia" w:ascii="Times New Roman" w:hAnsi="Times New Roman" w:cs="宋体"/>
          <w:sz w:val="13"/>
          <w:szCs w:val="13"/>
        </w:rPr>
        <w:t>标定</w:t>
      </w:r>
      <w:r>
        <w:rPr>
          <w:rFonts w:ascii="Times New Roman" w:hAnsi="Times New Roman" w:cs="Times New Roman"/>
          <w:kern w:val="0"/>
          <w:sz w:val="13"/>
          <w:szCs w:val="13"/>
        </w:rPr>
        <w:t>CT</w:t>
      </w:r>
      <w:r>
        <w:rPr>
          <w:rFonts w:hint="eastAsia" w:ascii="Times New Roman" w:hAnsi="Times New Roman" w:cs="宋体"/>
          <w:kern w:val="0"/>
          <w:sz w:val="13"/>
          <w:szCs w:val="13"/>
        </w:rPr>
        <w:t>系统的参数，并据此对未知结构的样品进行成像。</w:t>
      </w:r>
    </w:p>
    <w:p>
      <w:pPr>
        <w:ind w:firstLine="260" w:firstLineChars="200"/>
        <w:rPr>
          <w:rFonts w:ascii="Times New Roman" w:hAnsi="Times New Roman" w:cs="Times New Roman"/>
          <w:sz w:val="13"/>
          <w:szCs w:val="13"/>
        </w:rPr>
      </w:pPr>
      <w:r>
        <w:rPr>
          <w:rFonts w:hint="eastAsia" w:ascii="Times New Roman" w:hAnsi="Times New Roman" w:cs="宋体"/>
          <w:kern w:val="0"/>
          <w:sz w:val="13"/>
          <w:szCs w:val="13"/>
        </w:rPr>
        <w:t>请建立相应的数学模型和算法，解决以下问题：</w:t>
      </w:r>
    </w:p>
    <w:p>
      <w:pPr>
        <w:ind w:firstLine="260" w:firstLineChars="200"/>
        <w:rPr>
          <w:rFonts w:ascii="Times New Roman" w:hAnsi="Times New Roman" w:cs="Times New Roman"/>
          <w:sz w:val="13"/>
          <w:szCs w:val="13"/>
          <w:highlight w:val="yellow"/>
        </w:rPr>
      </w:pPr>
      <w:bookmarkStart w:id="6" w:name="OLE_LINK55"/>
      <w:bookmarkStart w:id="7" w:name="OLE_LINK56"/>
      <w:r>
        <w:rPr>
          <w:rFonts w:ascii="Times New Roman" w:hAnsi="Times New Roman" w:cs="Times New Roman"/>
          <w:sz w:val="13"/>
          <w:szCs w:val="13"/>
        </w:rPr>
        <w:t xml:space="preserve">(1) </w:t>
      </w:r>
      <w:r>
        <w:rPr>
          <w:rFonts w:hint="eastAsia" w:ascii="Times New Roman" w:hAnsi="Times New Roman" w:cs="宋体"/>
          <w:kern w:val="0"/>
          <w:sz w:val="13"/>
          <w:szCs w:val="13"/>
        </w:rPr>
        <w:t>在正方形托盘上放置两个均匀固体介质组成的标定模板，模板的几何信息如图</w:t>
      </w:r>
      <w:r>
        <w:rPr>
          <w:rFonts w:ascii="Times New Roman" w:hAnsi="Times New Roman" w:cs="Times New Roman"/>
          <w:kern w:val="0"/>
          <w:sz w:val="13"/>
          <w:szCs w:val="13"/>
        </w:rPr>
        <w:t>2</w:t>
      </w:r>
      <w:r>
        <w:rPr>
          <w:rFonts w:hint="eastAsia" w:ascii="Times New Roman" w:hAnsi="Times New Roman" w:cs="宋体"/>
          <w:kern w:val="0"/>
          <w:sz w:val="13"/>
          <w:szCs w:val="13"/>
        </w:rPr>
        <w:t>所示，</w:t>
      </w:r>
      <w:bookmarkStart w:id="8" w:name="OLE_LINK76"/>
      <w:bookmarkStart w:id="9" w:name="OLE_LINK75"/>
      <w:r>
        <w:rPr>
          <w:rFonts w:hint="eastAsia" w:ascii="Times New Roman" w:hAnsi="Times New Roman" w:cs="宋体"/>
          <w:kern w:val="0"/>
          <w:sz w:val="13"/>
          <w:szCs w:val="13"/>
        </w:rPr>
        <w:t>相应的数据文件见附件</w:t>
      </w:r>
      <w:r>
        <w:rPr>
          <w:rFonts w:ascii="Times New Roman" w:hAnsi="Times New Roman" w:cs="Times New Roman"/>
          <w:kern w:val="0"/>
          <w:sz w:val="13"/>
          <w:szCs w:val="13"/>
        </w:rPr>
        <w:t>1</w:t>
      </w:r>
      <w:bookmarkEnd w:id="8"/>
      <w:bookmarkEnd w:id="9"/>
      <w:bookmarkStart w:id="10" w:name="OLE_LINK53"/>
      <w:bookmarkStart w:id="11" w:name="OLE_LINK54"/>
      <w:r>
        <w:rPr>
          <w:rFonts w:hint="eastAsia" w:ascii="Times New Roman" w:hAnsi="Times New Roman" w:cs="宋体"/>
          <w:kern w:val="0"/>
          <w:sz w:val="13"/>
          <w:szCs w:val="13"/>
        </w:rPr>
        <w:t>，</w:t>
      </w:r>
      <w:r>
        <w:rPr>
          <w:rFonts w:hint="eastAsia" w:ascii="Times New Roman" w:hAnsi="Times New Roman" w:cs="宋体"/>
          <w:kern w:val="0"/>
          <w:sz w:val="13"/>
          <w:szCs w:val="13"/>
          <w:highlight w:val="yellow"/>
        </w:rPr>
        <w:t>其中每一点的数值反映了该点的吸收强度，这里称为“吸收率</w:t>
      </w:r>
      <w:bookmarkEnd w:id="10"/>
      <w:bookmarkEnd w:id="11"/>
      <w:r>
        <w:rPr>
          <w:rFonts w:hint="eastAsia" w:ascii="Times New Roman" w:hAnsi="Times New Roman" w:cs="宋体"/>
          <w:kern w:val="0"/>
          <w:sz w:val="13"/>
          <w:szCs w:val="13"/>
          <w:highlight w:val="yellow"/>
        </w:rPr>
        <w:t>”</w:t>
      </w:r>
      <w:r>
        <w:rPr>
          <w:rFonts w:hint="eastAsia" w:ascii="Times New Roman" w:hAnsi="Times New Roman" w:cs="宋体"/>
          <w:kern w:val="0"/>
          <w:sz w:val="13"/>
          <w:szCs w:val="13"/>
        </w:rPr>
        <w:t>。对应于该模板的接收信息见附件</w:t>
      </w:r>
      <w:r>
        <w:rPr>
          <w:rFonts w:ascii="Times New Roman" w:hAnsi="Times New Roman" w:cs="Times New Roman"/>
          <w:kern w:val="0"/>
          <w:sz w:val="13"/>
          <w:szCs w:val="13"/>
        </w:rPr>
        <w:t>2</w:t>
      </w:r>
      <w:r>
        <w:rPr>
          <w:rFonts w:hint="eastAsia" w:ascii="Times New Roman" w:hAnsi="Times New Roman" w:cs="宋体"/>
          <w:kern w:val="0"/>
          <w:sz w:val="13"/>
          <w:szCs w:val="13"/>
        </w:rPr>
        <w:t>。</w:t>
      </w:r>
      <w:r>
        <w:rPr>
          <w:rFonts w:hint="eastAsia" w:ascii="Times New Roman" w:hAnsi="Times New Roman" w:cs="宋体"/>
          <w:sz w:val="13"/>
          <w:szCs w:val="13"/>
        </w:rPr>
        <w:t>请根据这一模板及其接收信息，</w:t>
      </w:r>
      <w:bookmarkStart w:id="12" w:name="OLE_LINK84"/>
      <w:bookmarkStart w:id="13" w:name="OLE_LINK83"/>
      <w:r>
        <w:rPr>
          <w:rFonts w:hint="eastAsia" w:ascii="Times New Roman" w:hAnsi="Times New Roman" w:cs="宋体"/>
          <w:sz w:val="13"/>
          <w:szCs w:val="13"/>
        </w:rPr>
        <w:t>确定</w:t>
      </w:r>
      <w:r>
        <w:rPr>
          <w:rFonts w:ascii="Times New Roman" w:hAnsi="Times New Roman" w:cs="Times New Roman"/>
          <w:sz w:val="13"/>
          <w:szCs w:val="13"/>
        </w:rPr>
        <w:t>CT</w:t>
      </w:r>
      <w:r>
        <w:rPr>
          <w:rFonts w:hint="eastAsia" w:ascii="Times New Roman" w:hAnsi="Times New Roman" w:cs="宋体"/>
          <w:sz w:val="13"/>
          <w:szCs w:val="13"/>
        </w:rPr>
        <w:t>系统</w:t>
      </w:r>
      <w:r>
        <w:rPr>
          <w:rFonts w:hint="eastAsia" w:ascii="Times New Roman" w:hAnsi="Times New Roman" w:cs="宋体"/>
          <w:sz w:val="13"/>
          <w:szCs w:val="13"/>
          <w:highlight w:val="yellow"/>
        </w:rPr>
        <w:t>旋转中心在正方形托盘中的位置、探测器单元之间的距离以及该CT系统使用的</w:t>
      </w:r>
      <w:r>
        <w:rPr>
          <w:rFonts w:ascii="Times New Roman" w:hAnsi="Times New Roman" w:cs="Times New Roman"/>
          <w:sz w:val="13"/>
          <w:szCs w:val="13"/>
          <w:highlight w:val="yellow"/>
        </w:rPr>
        <w:t>X</w:t>
      </w:r>
      <w:r>
        <w:rPr>
          <w:rFonts w:hint="eastAsia" w:ascii="Times New Roman" w:hAnsi="Times New Roman" w:cs="宋体"/>
          <w:sz w:val="13"/>
          <w:szCs w:val="13"/>
          <w:highlight w:val="yellow"/>
        </w:rPr>
        <w:t>射线的180个方向</w:t>
      </w:r>
      <w:bookmarkEnd w:id="12"/>
      <w:bookmarkEnd w:id="13"/>
      <w:r>
        <w:rPr>
          <w:rFonts w:hint="eastAsia" w:ascii="Times New Roman" w:hAnsi="Times New Roman" w:cs="宋体"/>
          <w:sz w:val="13"/>
          <w:szCs w:val="13"/>
          <w:highlight w:val="yellow"/>
        </w:rPr>
        <w:t>。</w:t>
      </w:r>
    </w:p>
    <w:bookmarkEnd w:id="6"/>
    <w:bookmarkEnd w:id="7"/>
    <w:p>
      <w:pPr>
        <w:ind w:firstLine="405"/>
        <w:rPr>
          <w:rFonts w:ascii="Times New Roman" w:hAnsi="Times New Roman" w:cs="宋体"/>
          <w:sz w:val="13"/>
          <w:szCs w:val="13"/>
        </w:rPr>
      </w:pPr>
      <w:r>
        <w:rPr>
          <w:rFonts w:ascii="Times New Roman" w:hAnsi="Times New Roman" w:cs="Times New Roman"/>
          <w:sz w:val="13"/>
          <w:szCs w:val="13"/>
        </w:rPr>
        <w:t xml:space="preserve">(2) </w:t>
      </w:r>
      <w:r>
        <w:rPr>
          <w:rFonts w:hint="eastAsia" w:ascii="Times New Roman" w:hAnsi="Times New Roman" w:cs="宋体"/>
          <w:sz w:val="13"/>
          <w:szCs w:val="13"/>
        </w:rPr>
        <w:t>附件</w:t>
      </w:r>
      <w:r>
        <w:rPr>
          <w:rFonts w:ascii="Times New Roman" w:hAnsi="Times New Roman" w:cs="Times New Roman"/>
          <w:sz w:val="13"/>
          <w:szCs w:val="13"/>
        </w:rPr>
        <w:t>3</w:t>
      </w:r>
      <w:r>
        <w:rPr>
          <w:rFonts w:hint="eastAsia" w:ascii="Times New Roman" w:hAnsi="Times New Roman" w:cs="宋体"/>
          <w:sz w:val="13"/>
          <w:szCs w:val="13"/>
        </w:rPr>
        <w:t>是利用上述</w:t>
      </w:r>
      <w:r>
        <w:rPr>
          <w:rFonts w:ascii="Times New Roman" w:hAnsi="Times New Roman" w:cs="Times New Roman"/>
          <w:sz w:val="13"/>
          <w:szCs w:val="13"/>
        </w:rPr>
        <w:t>CT</w:t>
      </w:r>
      <w:r>
        <w:rPr>
          <w:rFonts w:hint="eastAsia" w:ascii="Times New Roman" w:hAnsi="Times New Roman" w:cs="宋体"/>
          <w:sz w:val="13"/>
          <w:szCs w:val="13"/>
        </w:rPr>
        <w:t>系统得到的某未知介质的接收信息。利用</w:t>
      </w:r>
      <w:r>
        <w:rPr>
          <w:rFonts w:ascii="Times New Roman" w:hAnsi="Times New Roman" w:cs="Times New Roman"/>
          <w:sz w:val="13"/>
          <w:szCs w:val="13"/>
        </w:rPr>
        <w:t>(1)</w:t>
      </w:r>
      <w:r>
        <w:rPr>
          <w:rFonts w:hint="eastAsia" w:ascii="Times New Roman" w:hAnsi="Times New Roman" w:cs="宋体"/>
          <w:sz w:val="13"/>
          <w:szCs w:val="13"/>
        </w:rPr>
        <w:t>中得到的标定参数，</w:t>
      </w:r>
      <w:bookmarkStart w:id="14" w:name="OLE_LINK82"/>
      <w:bookmarkStart w:id="15" w:name="OLE_LINK81"/>
      <w:r>
        <w:rPr>
          <w:rFonts w:hint="eastAsia" w:ascii="Times New Roman" w:hAnsi="Times New Roman" w:cs="宋体"/>
          <w:sz w:val="13"/>
          <w:szCs w:val="13"/>
        </w:rPr>
        <w:t>确定该未知介质</w:t>
      </w:r>
      <w:bookmarkStart w:id="16" w:name="OLE_LINK79"/>
      <w:bookmarkStart w:id="17" w:name="OLE_LINK80"/>
      <w:bookmarkStart w:id="18" w:name="OLE_LINK57"/>
      <w:bookmarkStart w:id="19" w:name="OLE_LINK58"/>
      <w:r>
        <w:rPr>
          <w:rFonts w:hint="eastAsia" w:ascii="Times New Roman" w:hAnsi="Times New Roman" w:cs="宋体"/>
          <w:sz w:val="13"/>
          <w:szCs w:val="13"/>
        </w:rPr>
        <w:t>在正方形托盘中的</w:t>
      </w:r>
      <w:r>
        <w:rPr>
          <w:rFonts w:hint="eastAsia" w:ascii="Times New Roman" w:hAnsi="Times New Roman" w:cs="宋体"/>
          <w:color w:val="auto"/>
          <w:sz w:val="13"/>
          <w:szCs w:val="13"/>
          <w:highlight w:val="yellow"/>
        </w:rPr>
        <w:t>位置</w:t>
      </w:r>
      <w:bookmarkEnd w:id="16"/>
      <w:bookmarkEnd w:id="17"/>
      <w:r>
        <w:rPr>
          <w:rFonts w:hint="eastAsia" w:ascii="Times New Roman" w:hAnsi="Times New Roman" w:cs="宋体"/>
          <w:color w:val="auto"/>
          <w:sz w:val="13"/>
          <w:szCs w:val="13"/>
          <w:highlight w:val="yellow"/>
        </w:rPr>
        <w:t>、几何形状和吸收</w:t>
      </w:r>
      <w:bookmarkStart w:id="20" w:name="OLE_LINK73"/>
      <w:bookmarkStart w:id="21" w:name="OLE_LINK74"/>
      <w:r>
        <w:rPr>
          <w:rFonts w:hint="eastAsia" w:ascii="Times New Roman" w:hAnsi="Times New Roman" w:cs="宋体"/>
          <w:color w:val="auto"/>
          <w:sz w:val="13"/>
          <w:szCs w:val="13"/>
          <w:highlight w:val="yellow"/>
        </w:rPr>
        <w:t>率</w:t>
      </w:r>
      <w:bookmarkEnd w:id="20"/>
      <w:bookmarkEnd w:id="21"/>
      <w:r>
        <w:rPr>
          <w:rFonts w:hint="eastAsia" w:ascii="Times New Roman" w:hAnsi="Times New Roman" w:cs="宋体"/>
          <w:color w:val="FF0000"/>
          <w:sz w:val="13"/>
          <w:szCs w:val="13"/>
          <w:lang w:eastAsia="zh-CN"/>
        </w:rPr>
        <w:t>（</w:t>
      </w:r>
      <w:r>
        <w:rPr>
          <w:rFonts w:hint="eastAsia" w:ascii="Times New Roman" w:hAnsi="Times New Roman" w:cs="宋体"/>
          <w:color w:val="FF0000"/>
          <w:sz w:val="13"/>
          <w:szCs w:val="13"/>
          <w:lang w:val="en-US" w:eastAsia="zh-CN"/>
        </w:rPr>
        <w:t>生成二维图像，类似于附件2</w:t>
      </w:r>
      <w:r>
        <w:rPr>
          <w:rFonts w:hint="eastAsia" w:ascii="Times New Roman" w:hAnsi="Times New Roman" w:cs="宋体"/>
          <w:color w:val="FF0000"/>
          <w:sz w:val="13"/>
          <w:szCs w:val="13"/>
          <w:lang w:eastAsia="zh-CN"/>
        </w:rPr>
        <w:t>）</w:t>
      </w:r>
      <w:r>
        <w:rPr>
          <w:rFonts w:hint="eastAsia" w:ascii="Times New Roman" w:hAnsi="Times New Roman" w:cs="宋体"/>
          <w:sz w:val="13"/>
          <w:szCs w:val="13"/>
        </w:rPr>
        <w:t>等信息。另外，请具体给出图3所给的10个位置处的吸收率，相应的数据文件见附件4</w:t>
      </w:r>
      <w:r>
        <w:rPr>
          <w:rFonts w:hint="eastAsia" w:ascii="Times New Roman" w:hAnsi="Times New Roman" w:cs="宋体"/>
          <w:color w:val="FF0000"/>
          <w:sz w:val="13"/>
          <w:szCs w:val="13"/>
          <w:lang w:eastAsia="zh-CN"/>
        </w:rPr>
        <w:t>（</w:t>
      </w:r>
      <w:r>
        <w:rPr>
          <w:rFonts w:hint="eastAsia" w:ascii="Times New Roman" w:hAnsi="Times New Roman" w:cs="宋体"/>
          <w:color w:val="FF0000"/>
          <w:sz w:val="13"/>
          <w:szCs w:val="13"/>
          <w:lang w:val="en-US" w:eastAsia="zh-CN"/>
        </w:rPr>
        <w:t>直接根据indices读取数值</w:t>
      </w:r>
      <w:r>
        <w:rPr>
          <w:rFonts w:hint="eastAsia" w:ascii="Times New Roman" w:hAnsi="Times New Roman" w:cs="宋体"/>
          <w:color w:val="FF0000"/>
          <w:sz w:val="13"/>
          <w:szCs w:val="13"/>
          <w:lang w:eastAsia="zh-CN"/>
        </w:rPr>
        <w:t>）</w:t>
      </w:r>
      <w:r>
        <w:rPr>
          <w:rFonts w:hint="eastAsia" w:ascii="Times New Roman" w:hAnsi="Times New Roman" w:cs="宋体"/>
          <w:sz w:val="13"/>
          <w:szCs w:val="13"/>
        </w:rPr>
        <w:t>。</w:t>
      </w:r>
    </w:p>
    <w:bookmarkEnd w:id="14"/>
    <w:bookmarkEnd w:id="15"/>
    <w:bookmarkEnd w:id="18"/>
    <w:bookmarkEnd w:id="19"/>
    <w:p>
      <w:pPr>
        <w:ind w:firstLine="405"/>
        <w:rPr>
          <w:rFonts w:ascii="Times New Roman" w:hAnsi="Times New Roman" w:cs="宋体"/>
          <w:sz w:val="13"/>
          <w:szCs w:val="13"/>
        </w:rPr>
      </w:pPr>
      <w:r>
        <w:rPr>
          <w:rFonts w:ascii="Times New Roman" w:hAnsi="Times New Roman" w:cs="宋体"/>
          <w:sz w:val="13"/>
          <w:szCs w:val="13"/>
        </w:rPr>
        <w:t xml:space="preserve">(3) </w:t>
      </w:r>
      <w:r>
        <w:rPr>
          <w:rFonts w:hint="eastAsia" w:ascii="Times New Roman" w:hAnsi="Times New Roman" w:cs="宋体"/>
          <w:sz w:val="13"/>
          <w:szCs w:val="13"/>
        </w:rPr>
        <w:t>附件</w:t>
      </w:r>
      <w:r>
        <w:rPr>
          <w:rFonts w:ascii="Times New Roman" w:hAnsi="Times New Roman" w:cs="宋体"/>
          <w:sz w:val="13"/>
          <w:szCs w:val="13"/>
        </w:rPr>
        <w:t>5</w:t>
      </w:r>
      <w:r>
        <w:rPr>
          <w:rFonts w:hint="eastAsia" w:ascii="Times New Roman" w:hAnsi="Times New Roman" w:cs="宋体"/>
          <w:sz w:val="13"/>
          <w:szCs w:val="13"/>
        </w:rPr>
        <w:t>是利用上述</w:t>
      </w:r>
      <w:r>
        <w:rPr>
          <w:rFonts w:ascii="Times New Roman" w:hAnsi="Times New Roman" w:cs="宋体"/>
          <w:sz w:val="13"/>
          <w:szCs w:val="13"/>
        </w:rPr>
        <w:t>CT</w:t>
      </w:r>
      <w:r>
        <w:rPr>
          <w:rFonts w:hint="eastAsia" w:ascii="Times New Roman" w:hAnsi="Times New Roman" w:cs="宋体"/>
          <w:sz w:val="13"/>
          <w:szCs w:val="13"/>
        </w:rPr>
        <w:t>系统得到的另一个未知介质的接收信息。利用</w:t>
      </w:r>
      <w:r>
        <w:rPr>
          <w:rFonts w:ascii="Times New Roman" w:hAnsi="Times New Roman" w:cs="宋体"/>
          <w:sz w:val="13"/>
          <w:szCs w:val="13"/>
        </w:rPr>
        <w:t>(1)</w:t>
      </w:r>
      <w:r>
        <w:rPr>
          <w:rFonts w:hint="eastAsia" w:ascii="Times New Roman" w:hAnsi="Times New Roman" w:cs="宋体"/>
          <w:sz w:val="13"/>
          <w:szCs w:val="13"/>
        </w:rPr>
        <w:t>中得到的标定参数，</w:t>
      </w:r>
      <w:bookmarkStart w:id="22" w:name="OLE_LINK85"/>
      <w:bookmarkStart w:id="23" w:name="OLE_LINK86"/>
      <w:r>
        <w:rPr>
          <w:rFonts w:hint="eastAsia" w:ascii="Times New Roman" w:hAnsi="Times New Roman" w:cs="宋体"/>
          <w:sz w:val="13"/>
          <w:szCs w:val="13"/>
        </w:rPr>
        <w:t>给</w:t>
      </w:r>
      <w:bookmarkEnd w:id="22"/>
      <w:bookmarkEnd w:id="23"/>
      <w:r>
        <w:rPr>
          <w:rFonts w:hint="eastAsia" w:ascii="Times New Roman" w:hAnsi="Times New Roman" w:cs="宋体"/>
          <w:sz w:val="13"/>
          <w:szCs w:val="13"/>
        </w:rPr>
        <w:t>出该未知介质的相关信息。另外，请具体给出图3所给的10个位置处的吸收率</w:t>
      </w:r>
      <w:r>
        <w:rPr>
          <w:rFonts w:hint="eastAsia" w:ascii="Times New Roman" w:hAnsi="Times New Roman" w:cs="宋体"/>
          <w:color w:val="FF0000"/>
          <w:sz w:val="13"/>
          <w:szCs w:val="13"/>
          <w:lang w:eastAsia="zh-CN"/>
        </w:rPr>
        <w:t>（</w:t>
      </w:r>
      <w:r>
        <w:rPr>
          <w:rFonts w:hint="eastAsia" w:ascii="Times New Roman" w:hAnsi="Times New Roman" w:cs="宋体"/>
          <w:color w:val="FF0000"/>
          <w:sz w:val="13"/>
          <w:szCs w:val="13"/>
          <w:lang w:val="en-US" w:eastAsia="zh-CN"/>
        </w:rPr>
        <w:t>步骤同2问</w:t>
      </w:r>
      <w:r>
        <w:rPr>
          <w:rFonts w:hint="eastAsia" w:ascii="Times New Roman" w:hAnsi="Times New Roman" w:cs="宋体"/>
          <w:color w:val="FF0000"/>
          <w:sz w:val="13"/>
          <w:szCs w:val="13"/>
          <w:lang w:eastAsia="zh-CN"/>
        </w:rPr>
        <w:t>）</w:t>
      </w:r>
      <w:r>
        <w:rPr>
          <w:rFonts w:hint="eastAsia" w:ascii="Times New Roman" w:hAnsi="Times New Roman" w:cs="宋体"/>
          <w:sz w:val="13"/>
          <w:szCs w:val="13"/>
        </w:rPr>
        <w:t>。</w:t>
      </w:r>
    </w:p>
    <w:p>
      <w:pPr>
        <w:ind w:firstLine="405"/>
        <w:rPr>
          <w:rFonts w:ascii="Times New Roman" w:hAnsi="Times New Roman" w:cs="Times New Roman"/>
          <w:sz w:val="13"/>
          <w:szCs w:val="13"/>
        </w:rPr>
      </w:pPr>
      <w:r>
        <w:rPr>
          <w:rFonts w:ascii="Times New Roman" w:hAnsi="Times New Roman" w:cs="宋体"/>
          <w:sz w:val="13"/>
          <w:szCs w:val="13"/>
        </w:rPr>
        <w:t xml:space="preserve">(4) </w:t>
      </w:r>
      <w:r>
        <w:rPr>
          <w:rFonts w:hint="eastAsia" w:ascii="Times New Roman" w:hAnsi="Times New Roman" w:cs="宋体"/>
          <w:sz w:val="13"/>
          <w:szCs w:val="13"/>
        </w:rPr>
        <w:t>分析(1)中参数标定的精度和稳定性。在此基础上自行</w:t>
      </w:r>
      <w:r>
        <w:rPr>
          <w:rFonts w:hint="eastAsia" w:ascii="Times New Roman" w:hAnsi="Times New Roman" w:cs="宋体"/>
          <w:sz w:val="13"/>
          <w:szCs w:val="13"/>
          <w:highlight w:val="yellow"/>
        </w:rPr>
        <w:t>设计新模板</w:t>
      </w:r>
      <w:r>
        <w:rPr>
          <w:rFonts w:hint="eastAsia" w:ascii="Times New Roman" w:hAnsi="Times New Roman" w:cs="宋体"/>
          <w:sz w:val="13"/>
          <w:szCs w:val="13"/>
        </w:rPr>
        <w:t>、</w:t>
      </w:r>
      <w:r>
        <w:rPr>
          <w:rFonts w:hint="eastAsia" w:ascii="Times New Roman" w:hAnsi="Times New Roman" w:cs="宋体"/>
          <w:sz w:val="13"/>
          <w:szCs w:val="13"/>
          <w:highlight w:val="yellow"/>
        </w:rPr>
        <w:t>建立对应的标定模型</w:t>
      </w:r>
      <w:r>
        <w:rPr>
          <w:rFonts w:hint="eastAsia" w:ascii="Times New Roman" w:hAnsi="Times New Roman" w:cs="宋体"/>
          <w:sz w:val="13"/>
          <w:szCs w:val="13"/>
        </w:rPr>
        <w:t>，以改进标定精度和稳定性</w:t>
      </w:r>
      <w:bookmarkStart w:id="24" w:name="OLE_LINK62"/>
      <w:bookmarkStart w:id="25" w:name="OLE_LINK61"/>
      <w:r>
        <w:rPr>
          <w:rFonts w:hint="eastAsia" w:ascii="Times New Roman" w:hAnsi="Times New Roman" w:cs="宋体"/>
          <w:sz w:val="13"/>
          <w:szCs w:val="13"/>
        </w:rPr>
        <w:t>，并说明理由</w:t>
      </w:r>
      <w:r>
        <w:rPr>
          <w:rFonts w:hint="eastAsia" w:ascii="Times New Roman" w:hAnsi="Times New Roman" w:cs="宋体"/>
          <w:color w:val="FF0000"/>
          <w:sz w:val="13"/>
          <w:szCs w:val="13"/>
          <w:lang w:eastAsia="zh-CN"/>
        </w:rPr>
        <w:t>（</w:t>
      </w:r>
      <w:r>
        <w:rPr>
          <w:rFonts w:hint="eastAsia" w:ascii="Times New Roman" w:hAnsi="Times New Roman" w:cs="宋体"/>
          <w:color w:val="FF0000"/>
          <w:sz w:val="13"/>
          <w:szCs w:val="13"/>
          <w:lang w:val="en-US" w:eastAsia="zh-CN"/>
        </w:rPr>
        <w:t>考虑的点：改进标定物的形状；CT旋转的角度和次数；接收器的个数。建立对应的模型：基于新模板的标定方法</w:t>
      </w:r>
      <w:r>
        <w:rPr>
          <w:rFonts w:hint="eastAsia" w:ascii="Times New Roman" w:hAnsi="Times New Roman" w:cs="宋体"/>
          <w:color w:val="FF0000"/>
          <w:sz w:val="13"/>
          <w:szCs w:val="13"/>
          <w:lang w:eastAsia="zh-CN"/>
        </w:rPr>
        <w:t>）</w:t>
      </w:r>
      <w:r>
        <w:rPr>
          <w:rFonts w:hint="eastAsia" w:ascii="Times New Roman" w:hAnsi="Times New Roman" w:cs="宋体"/>
          <w:sz w:val="13"/>
          <w:szCs w:val="13"/>
        </w:rPr>
        <w:t>。</w:t>
      </w:r>
      <w:bookmarkEnd w:id="24"/>
      <w:bookmarkEnd w:id="25"/>
      <w:bookmarkStart w:id="26" w:name="OLE_LINK59"/>
      <w:bookmarkStart w:id="27" w:name="OLE_LINK60"/>
    </w:p>
    <w:p>
      <w:pPr>
        <w:rPr>
          <w:rFonts w:ascii="Times New Roman" w:hAnsi="Times New Roman" w:cs="Times New Roman"/>
          <w:sz w:val="13"/>
          <w:szCs w:val="13"/>
        </w:rPr>
      </w:pPr>
    </w:p>
    <w:p>
      <w:pPr>
        <w:ind w:firstLine="260" w:firstLineChars="200"/>
        <w:rPr>
          <w:rFonts w:ascii="Times New Roman" w:hAnsi="Times New Roman" w:cs="Times New Roman"/>
          <w:sz w:val="13"/>
          <w:szCs w:val="13"/>
        </w:rPr>
      </w:pPr>
      <w:r>
        <w:rPr>
          <w:rFonts w:hint="eastAsia" w:ascii="Times New Roman" w:hAnsi="Times New Roman" w:cs="Times New Roman"/>
          <w:sz w:val="13"/>
          <w:szCs w:val="13"/>
        </w:rPr>
        <w:t>(1)-(4)中的所有数值结果均保留4位小数。</w:t>
      </w:r>
      <w:bookmarkStart w:id="28" w:name="OLE_LINK69"/>
      <w:bookmarkStart w:id="29" w:name="OLE_LINK70"/>
      <w:r>
        <w:rPr>
          <w:rFonts w:hint="eastAsia" w:ascii="Times New Roman" w:hAnsi="Times New Roman" w:cs="Times New Roman"/>
          <w:sz w:val="13"/>
          <w:szCs w:val="13"/>
        </w:rPr>
        <w:t>同时提供(2)和(3)重建得到的介质吸收</w:t>
      </w:r>
      <w:bookmarkStart w:id="30" w:name="OLE_LINK71"/>
      <w:bookmarkStart w:id="31" w:name="OLE_LINK72"/>
      <w:r>
        <w:rPr>
          <w:rFonts w:hint="eastAsia" w:ascii="Times New Roman" w:hAnsi="Times New Roman" w:cs="Times New Roman"/>
          <w:sz w:val="13"/>
          <w:szCs w:val="13"/>
        </w:rPr>
        <w:t>率的</w:t>
      </w:r>
      <w:bookmarkEnd w:id="28"/>
      <w:bookmarkEnd w:id="29"/>
      <w:r>
        <w:rPr>
          <w:rFonts w:hint="eastAsia" w:ascii="Times New Roman" w:hAnsi="Times New Roman" w:cs="Times New Roman"/>
          <w:sz w:val="13"/>
          <w:szCs w:val="13"/>
        </w:rPr>
        <w:t>数据文件</w:t>
      </w:r>
      <w:bookmarkEnd w:id="30"/>
      <w:bookmarkEnd w:id="31"/>
      <w:r>
        <w:rPr>
          <w:rFonts w:hint="eastAsia" w:ascii="Times New Roman" w:hAnsi="Times New Roman" w:cs="Times New Roman"/>
          <w:sz w:val="13"/>
          <w:szCs w:val="13"/>
        </w:rPr>
        <w:t>（大小为256</w:t>
      </w:r>
      <w:r>
        <w:rPr>
          <w:rFonts w:ascii="Times New Roman" w:hAnsi="Times New Roman" w:cs="Times New Roman"/>
          <w:kern w:val="0"/>
          <w:sz w:val="13"/>
          <w:szCs w:val="13"/>
        </w:rPr>
        <w:t>×</w:t>
      </w:r>
      <w:r>
        <w:rPr>
          <w:rFonts w:hint="eastAsia" w:ascii="Times New Roman" w:hAnsi="Times New Roman" w:cs="Times New Roman"/>
          <w:sz w:val="13"/>
          <w:szCs w:val="13"/>
        </w:rPr>
        <w:t>256，格式同附件1，文件名分别为</w:t>
      </w:r>
      <w:r>
        <w:rPr>
          <w:rFonts w:hint="eastAsia" w:ascii="Times New Roman" w:hAnsi="Times New Roman" w:cs="Times New Roman"/>
          <w:kern w:val="0"/>
          <w:sz w:val="13"/>
          <w:szCs w:val="13"/>
        </w:rPr>
        <w:t>problem</w:t>
      </w:r>
      <w:r>
        <w:rPr>
          <w:rFonts w:ascii="Times New Roman" w:hAnsi="Times New Roman" w:cs="Times New Roman"/>
          <w:kern w:val="0"/>
          <w:sz w:val="13"/>
          <w:szCs w:val="13"/>
        </w:rPr>
        <w:t>2</w:t>
      </w:r>
      <w:r>
        <w:rPr>
          <w:rFonts w:hint="eastAsia" w:ascii="Times New Roman" w:hAnsi="Times New Roman" w:cs="Times New Roman"/>
          <w:sz w:val="13"/>
          <w:szCs w:val="13"/>
        </w:rPr>
        <w:t>.xls和</w:t>
      </w:r>
      <w:r>
        <w:rPr>
          <w:rFonts w:hint="eastAsia" w:ascii="Times New Roman" w:hAnsi="Times New Roman" w:cs="Times New Roman"/>
          <w:kern w:val="0"/>
          <w:sz w:val="13"/>
          <w:szCs w:val="13"/>
        </w:rPr>
        <w:t>problem</w:t>
      </w:r>
      <w:r>
        <w:rPr>
          <w:rFonts w:hint="eastAsia" w:ascii="Times New Roman" w:hAnsi="Times New Roman" w:cs="Times New Roman"/>
          <w:sz w:val="13"/>
          <w:szCs w:val="13"/>
        </w:rPr>
        <w:t>3.xls）</w:t>
      </w:r>
    </w:p>
    <w:p>
      <w:pPr>
        <w:jc w:val="center"/>
        <w:rPr>
          <w:rFonts w:ascii="Times New Roman" w:hAnsi="Times New Roman" w:cs="Times New Roman"/>
          <w:color w:val="FF0000"/>
          <w:sz w:val="13"/>
          <w:szCs w:val="13"/>
        </w:rPr>
      </w:pPr>
      <w:bookmarkStart w:id="32" w:name="OLE_LINK67"/>
      <w:bookmarkStart w:id="33" w:name="OLE_LINK68"/>
      <w:r>
        <w:rPr>
          <w:rFonts w:ascii="Times New Roman" w:hAnsi="Times New Roman" w:cs="Times New Roman"/>
          <w:color w:val="FF0000"/>
          <w:sz w:val="13"/>
          <w:szCs w:val="13"/>
        </w:rPr>
        <w:drawing>
          <wp:inline distT="0" distB="0" distL="0" distR="0">
            <wp:extent cx="1663700" cy="1556385"/>
            <wp:effectExtent l="0" t="0" r="1270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663700" cy="1556385"/>
                    </a:xfrm>
                    <a:prstGeom prst="rect">
                      <a:avLst/>
                    </a:prstGeom>
                    <a:noFill/>
                    <a:ln>
                      <a:noFill/>
                    </a:ln>
                  </pic:spPr>
                </pic:pic>
              </a:graphicData>
            </a:graphic>
          </wp:inline>
        </w:drawing>
      </w:r>
      <w:bookmarkEnd w:id="32"/>
      <w:bookmarkEnd w:id="33"/>
      <w:r>
        <w:rPr>
          <w:rFonts w:hint="eastAsia" w:ascii="Times New Roman" w:hAnsi="Times New Roman" w:cs="Times New Roman"/>
          <w:color w:val="FF0000"/>
          <w:sz w:val="13"/>
          <w:szCs w:val="13"/>
        </w:rPr>
        <w:t xml:space="preserve">  </w:t>
      </w:r>
      <w:r>
        <w:rPr>
          <w:rFonts w:hint="eastAsia" w:ascii="Times New Roman" w:hAnsi="Times New Roman" w:cs="Times New Roman"/>
          <w:color w:val="FF0000"/>
          <w:sz w:val="13"/>
          <w:szCs w:val="13"/>
        </w:rPr>
        <w:drawing>
          <wp:inline distT="0" distB="0" distL="0" distR="0">
            <wp:extent cx="1460500" cy="14605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60500" cy="1460500"/>
                    </a:xfrm>
                    <a:prstGeom prst="rect">
                      <a:avLst/>
                    </a:prstGeom>
                  </pic:spPr>
                </pic:pic>
              </a:graphicData>
            </a:graphic>
          </wp:inline>
        </w:drawing>
      </w:r>
      <w:r>
        <w:rPr>
          <w:rFonts w:hint="eastAsia" w:ascii="Times New Roman" w:hAnsi="Times New Roman" w:cs="Times New Roman"/>
          <w:color w:val="FF0000"/>
          <w:sz w:val="13"/>
          <w:szCs w:val="13"/>
        </w:rPr>
        <w:t xml:space="preserve">  </w:t>
      </w:r>
      <w:r>
        <w:rPr>
          <w:rFonts w:ascii="Times New Roman" w:hAnsi="Times New Roman" w:cs="Times New Roman"/>
          <w:color w:val="FF0000"/>
          <w:sz w:val="13"/>
          <w:szCs w:val="13"/>
        </w:rPr>
        <w:drawing>
          <wp:inline distT="0" distB="0" distL="0" distR="0">
            <wp:extent cx="1461135" cy="1461135"/>
            <wp:effectExtent l="0" t="0" r="571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61600" cy="1461600"/>
                    </a:xfrm>
                    <a:prstGeom prst="rect">
                      <a:avLst/>
                    </a:prstGeom>
                  </pic:spPr>
                </pic:pic>
              </a:graphicData>
            </a:graphic>
          </wp:inline>
        </w:drawing>
      </w:r>
    </w:p>
    <w:bookmarkEnd w:id="26"/>
    <w:bookmarkEnd w:id="27"/>
    <w:p>
      <w:pPr>
        <w:ind w:firstLine="400" w:firstLineChars="400"/>
        <w:rPr>
          <w:rFonts w:hint="eastAsia" w:ascii="Times New Roman" w:hAnsi="Times New Roman" w:cs="宋体"/>
          <w:sz w:val="10"/>
          <w:szCs w:val="10"/>
        </w:rPr>
      </w:pPr>
      <w:r>
        <w:rPr>
          <w:rFonts w:hint="eastAsia" w:ascii="Times New Roman" w:hAnsi="Times New Roman" w:cs="宋体"/>
          <w:sz w:val="10"/>
          <w:szCs w:val="10"/>
        </w:rPr>
        <w:t>图</w:t>
      </w:r>
      <w:r>
        <w:rPr>
          <w:rFonts w:ascii="Times New Roman" w:hAnsi="Times New Roman" w:cs="Times New Roman"/>
          <w:sz w:val="10"/>
          <w:szCs w:val="10"/>
        </w:rPr>
        <w:t>1.</w:t>
      </w:r>
      <w:r>
        <w:rPr>
          <w:rFonts w:hint="eastAsia" w:ascii="Times New Roman" w:hAnsi="Times New Roman" w:cs="Times New Roman"/>
          <w:sz w:val="10"/>
          <w:szCs w:val="10"/>
        </w:rPr>
        <w:t xml:space="preserve">  </w:t>
      </w:r>
      <w:r>
        <w:rPr>
          <w:rFonts w:ascii="Times New Roman" w:hAnsi="Times New Roman" w:cs="Times New Roman"/>
          <w:sz w:val="10"/>
          <w:szCs w:val="10"/>
        </w:rPr>
        <w:t>CT</w:t>
      </w:r>
      <w:r>
        <w:rPr>
          <w:rFonts w:hint="eastAsia" w:ascii="Times New Roman" w:hAnsi="Times New Roman" w:cs="宋体"/>
          <w:sz w:val="10"/>
          <w:szCs w:val="10"/>
        </w:rPr>
        <w:t>系统示意图      图</w:t>
      </w:r>
      <w:r>
        <w:rPr>
          <w:rFonts w:ascii="Times New Roman" w:hAnsi="Times New Roman" w:cs="Times New Roman"/>
          <w:sz w:val="10"/>
          <w:szCs w:val="10"/>
        </w:rPr>
        <w:t>2.</w:t>
      </w:r>
      <w:bookmarkStart w:id="34" w:name="OLE_LINK63"/>
      <w:bookmarkStart w:id="35" w:name="OLE_LINK64"/>
      <w:r>
        <w:rPr>
          <w:rFonts w:hint="eastAsia" w:ascii="Times New Roman" w:hAnsi="Times New Roman" w:cs="Times New Roman"/>
          <w:sz w:val="10"/>
          <w:szCs w:val="10"/>
        </w:rPr>
        <w:t xml:space="preserve">  </w:t>
      </w:r>
      <w:r>
        <w:rPr>
          <w:rFonts w:hint="eastAsia" w:ascii="Times New Roman" w:hAnsi="Times New Roman" w:cs="宋体"/>
          <w:sz w:val="10"/>
          <w:szCs w:val="10"/>
        </w:rPr>
        <w:t>模板示意图</w:t>
      </w:r>
      <w:bookmarkEnd w:id="34"/>
      <w:bookmarkEnd w:id="35"/>
      <w:r>
        <w:rPr>
          <w:rFonts w:hint="eastAsia" w:ascii="Times New Roman" w:hAnsi="Times New Roman" w:cs="宋体"/>
          <w:sz w:val="10"/>
          <w:szCs w:val="10"/>
        </w:rPr>
        <w:t>（单位：</w:t>
      </w:r>
      <w:r>
        <w:rPr>
          <w:rFonts w:ascii="Times New Roman" w:hAnsi="Times New Roman" w:cs="Times New Roman"/>
          <w:sz w:val="10"/>
          <w:szCs w:val="10"/>
        </w:rPr>
        <w:t>mm</w:t>
      </w:r>
      <w:r>
        <w:rPr>
          <w:rFonts w:hint="eastAsia" w:ascii="Times New Roman" w:hAnsi="Times New Roman" w:cs="宋体"/>
          <w:sz w:val="10"/>
          <w:szCs w:val="10"/>
        </w:rPr>
        <w:t>）   图3.  10个位置示意图</w:t>
      </w:r>
    </w:p>
    <w:p>
      <w:pPr>
        <w:ind w:firstLine="400" w:firstLineChars="400"/>
        <w:rPr>
          <w:rFonts w:hint="eastAsia" w:ascii="Times New Roman" w:hAnsi="Times New Roman" w:cs="宋体"/>
          <w:sz w:val="10"/>
          <w:szCs w:val="10"/>
        </w:rPr>
      </w:pPr>
    </w:p>
    <w:p>
      <w:pPr>
        <w:ind w:firstLine="400" w:firstLineChars="400"/>
        <w:rPr>
          <w:rFonts w:hint="eastAsia" w:ascii="Times New Roman" w:hAnsi="Times New Roman" w:cs="宋体"/>
          <w:sz w:val="10"/>
          <w:szCs w:val="10"/>
        </w:rPr>
      </w:pPr>
      <w:bookmarkStart w:id="36" w:name="_GoBack"/>
      <w:bookmarkEnd w:id="36"/>
    </w:p>
    <w:p>
      <w:pPr>
        <w:ind w:firstLine="400" w:firstLineChars="400"/>
        <w:rPr>
          <w:rFonts w:hint="eastAsia" w:ascii="Times New Roman" w:hAnsi="Times New Roman" w:cs="宋体"/>
          <w:sz w:val="10"/>
          <w:szCs w:val="10"/>
        </w:rPr>
      </w:pPr>
    </w:p>
    <w:p>
      <w:pPr>
        <w:ind w:firstLine="400" w:firstLineChars="400"/>
        <w:rPr>
          <w:rFonts w:hint="eastAsia" w:ascii="Times New Roman" w:hAnsi="Times New Roman" w:cs="宋体"/>
          <w:sz w:val="10"/>
          <w:szCs w:val="10"/>
        </w:rPr>
      </w:pPr>
    </w:p>
    <w:p>
      <w:pPr>
        <w:ind w:firstLine="400" w:firstLineChars="400"/>
        <w:rPr>
          <w:rFonts w:hint="eastAsia" w:ascii="Times New Roman" w:hAnsi="Times New Roman" w:cs="宋体"/>
          <w:sz w:val="10"/>
          <w:szCs w:val="10"/>
        </w:rPr>
      </w:pPr>
    </w:p>
    <w:p>
      <w:pPr>
        <w:ind w:firstLine="400" w:firstLineChars="400"/>
        <w:rPr>
          <w:rFonts w:hint="eastAsia" w:ascii="Times New Roman" w:hAnsi="Times New Roman" w:cs="宋体"/>
          <w:sz w:val="10"/>
          <w:szCs w:val="10"/>
        </w:rPr>
      </w:pPr>
    </w:p>
    <w:p>
      <w:pPr>
        <w:ind w:firstLine="400" w:firstLineChars="400"/>
        <w:rPr>
          <w:rFonts w:hint="eastAsia" w:ascii="Times New Roman" w:hAnsi="Times New Roman" w:cs="宋体"/>
          <w:sz w:val="10"/>
          <w:szCs w:val="10"/>
        </w:rPr>
      </w:pPr>
    </w:p>
    <w:p>
      <w:pPr>
        <w:ind w:firstLine="400" w:firstLineChars="400"/>
        <w:rPr>
          <w:rFonts w:hint="eastAsia" w:ascii="Times New Roman" w:hAnsi="Times New Roman" w:cs="宋体"/>
          <w:sz w:val="10"/>
          <w:szCs w:val="10"/>
        </w:rPr>
      </w:pPr>
    </w:p>
    <w:p>
      <w:pPr>
        <w:ind w:firstLine="400" w:firstLineChars="400"/>
        <w:rPr>
          <w:rFonts w:hint="eastAsia" w:ascii="Times New Roman" w:hAnsi="Times New Roman" w:cs="宋体"/>
          <w:sz w:val="10"/>
          <w:szCs w:val="10"/>
        </w:rPr>
      </w:pPr>
    </w:p>
    <w:p>
      <w:pPr>
        <w:rPr>
          <w:rFonts w:hint="eastAsia" w:ascii="Times New Roman" w:hAnsi="Times New Roman" w:cs="宋体"/>
          <w:sz w:val="15"/>
          <w:szCs w:val="15"/>
          <w:lang w:val="en-US" w:eastAsia="zh-CN"/>
        </w:rPr>
      </w:pPr>
    </w:p>
    <w:sectPr>
      <w:headerReference r:id="rId3" w:type="default"/>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华文楷体">
    <w:altName w:val="宋体"/>
    <w:panose1 w:val="02010600040101010101"/>
    <w:charset w:val="86"/>
    <w:family w:val="auto"/>
    <w:pitch w:val="default"/>
    <w:sig w:usb0="00000000" w:usb1="00000000" w:usb2="00000010" w:usb3="00000000" w:csb0="0004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BB565D"/>
    <w:rsid w:val="00024714"/>
    <w:rsid w:val="00025215"/>
    <w:rsid w:val="000323FC"/>
    <w:rsid w:val="0005113C"/>
    <w:rsid w:val="0005297E"/>
    <w:rsid w:val="00053B6E"/>
    <w:rsid w:val="0007649F"/>
    <w:rsid w:val="00081445"/>
    <w:rsid w:val="0008787A"/>
    <w:rsid w:val="000D42BD"/>
    <w:rsid w:val="000D6C18"/>
    <w:rsid w:val="000F2AF4"/>
    <w:rsid w:val="00124572"/>
    <w:rsid w:val="001322AF"/>
    <w:rsid w:val="00134388"/>
    <w:rsid w:val="00140898"/>
    <w:rsid w:val="001470BC"/>
    <w:rsid w:val="001560E6"/>
    <w:rsid w:val="0016271B"/>
    <w:rsid w:val="0016347D"/>
    <w:rsid w:val="00171DCA"/>
    <w:rsid w:val="001828AF"/>
    <w:rsid w:val="00194EBB"/>
    <w:rsid w:val="00194F50"/>
    <w:rsid w:val="001A240A"/>
    <w:rsid w:val="001D53E1"/>
    <w:rsid w:val="001D68FB"/>
    <w:rsid w:val="001E0763"/>
    <w:rsid w:val="001E4E82"/>
    <w:rsid w:val="0020399E"/>
    <w:rsid w:val="002125E0"/>
    <w:rsid w:val="00216104"/>
    <w:rsid w:val="002168B5"/>
    <w:rsid w:val="00221649"/>
    <w:rsid w:val="00231ADF"/>
    <w:rsid w:val="00242B82"/>
    <w:rsid w:val="00242DA2"/>
    <w:rsid w:val="00244BA9"/>
    <w:rsid w:val="002678A0"/>
    <w:rsid w:val="00275B84"/>
    <w:rsid w:val="0029515F"/>
    <w:rsid w:val="002B3C7E"/>
    <w:rsid w:val="002F2EEC"/>
    <w:rsid w:val="002F6F6F"/>
    <w:rsid w:val="002F72D2"/>
    <w:rsid w:val="00334AF5"/>
    <w:rsid w:val="003373AD"/>
    <w:rsid w:val="003438BC"/>
    <w:rsid w:val="00346A20"/>
    <w:rsid w:val="0035012D"/>
    <w:rsid w:val="00355DE3"/>
    <w:rsid w:val="00362AC8"/>
    <w:rsid w:val="00362B6A"/>
    <w:rsid w:val="00366FAE"/>
    <w:rsid w:val="00367546"/>
    <w:rsid w:val="00376D17"/>
    <w:rsid w:val="00387A73"/>
    <w:rsid w:val="0039056C"/>
    <w:rsid w:val="003B17D0"/>
    <w:rsid w:val="003D197C"/>
    <w:rsid w:val="004149CC"/>
    <w:rsid w:val="00414A0B"/>
    <w:rsid w:val="00416351"/>
    <w:rsid w:val="00430FF3"/>
    <w:rsid w:val="004527AE"/>
    <w:rsid w:val="004803EE"/>
    <w:rsid w:val="004818CA"/>
    <w:rsid w:val="00487EED"/>
    <w:rsid w:val="004A3248"/>
    <w:rsid w:val="004B43D7"/>
    <w:rsid w:val="004C20F0"/>
    <w:rsid w:val="004D421E"/>
    <w:rsid w:val="004D4E64"/>
    <w:rsid w:val="004E445E"/>
    <w:rsid w:val="0050596A"/>
    <w:rsid w:val="00512308"/>
    <w:rsid w:val="005271C5"/>
    <w:rsid w:val="00542A53"/>
    <w:rsid w:val="0054601B"/>
    <w:rsid w:val="00567B78"/>
    <w:rsid w:val="00570E8E"/>
    <w:rsid w:val="005724D1"/>
    <w:rsid w:val="00585193"/>
    <w:rsid w:val="00595DF6"/>
    <w:rsid w:val="005B5A6B"/>
    <w:rsid w:val="005D75BB"/>
    <w:rsid w:val="005E751C"/>
    <w:rsid w:val="005F4310"/>
    <w:rsid w:val="005F572C"/>
    <w:rsid w:val="005F5ABC"/>
    <w:rsid w:val="00612818"/>
    <w:rsid w:val="006169AE"/>
    <w:rsid w:val="00621943"/>
    <w:rsid w:val="00631D12"/>
    <w:rsid w:val="0064122E"/>
    <w:rsid w:val="006446FC"/>
    <w:rsid w:val="00646909"/>
    <w:rsid w:val="00650D4A"/>
    <w:rsid w:val="006517C5"/>
    <w:rsid w:val="006672FD"/>
    <w:rsid w:val="00674466"/>
    <w:rsid w:val="00692873"/>
    <w:rsid w:val="0069462D"/>
    <w:rsid w:val="006B5D06"/>
    <w:rsid w:val="006C1A2F"/>
    <w:rsid w:val="006C28DD"/>
    <w:rsid w:val="006C3CE5"/>
    <w:rsid w:val="006D301F"/>
    <w:rsid w:val="006D485C"/>
    <w:rsid w:val="006D4A87"/>
    <w:rsid w:val="006E77CF"/>
    <w:rsid w:val="006F3FD3"/>
    <w:rsid w:val="006F7609"/>
    <w:rsid w:val="00711C8D"/>
    <w:rsid w:val="00715194"/>
    <w:rsid w:val="00726CF7"/>
    <w:rsid w:val="00727897"/>
    <w:rsid w:val="00760967"/>
    <w:rsid w:val="00767F26"/>
    <w:rsid w:val="00772FD3"/>
    <w:rsid w:val="007841C1"/>
    <w:rsid w:val="0079348C"/>
    <w:rsid w:val="007B7652"/>
    <w:rsid w:val="007D4EC6"/>
    <w:rsid w:val="007D5C81"/>
    <w:rsid w:val="007D61F8"/>
    <w:rsid w:val="007E7BD9"/>
    <w:rsid w:val="0083443A"/>
    <w:rsid w:val="00861A57"/>
    <w:rsid w:val="008716C4"/>
    <w:rsid w:val="00895A05"/>
    <w:rsid w:val="008A5BC5"/>
    <w:rsid w:val="008B4732"/>
    <w:rsid w:val="008D11CD"/>
    <w:rsid w:val="008E41B3"/>
    <w:rsid w:val="008F41BA"/>
    <w:rsid w:val="008F6AE3"/>
    <w:rsid w:val="0092319E"/>
    <w:rsid w:val="00923547"/>
    <w:rsid w:val="00923E0D"/>
    <w:rsid w:val="00947D1C"/>
    <w:rsid w:val="009711DF"/>
    <w:rsid w:val="009741C4"/>
    <w:rsid w:val="009951ED"/>
    <w:rsid w:val="009965DD"/>
    <w:rsid w:val="009D1383"/>
    <w:rsid w:val="009D495C"/>
    <w:rsid w:val="009F1FB4"/>
    <w:rsid w:val="009F55EA"/>
    <w:rsid w:val="00A11A34"/>
    <w:rsid w:val="00A275AE"/>
    <w:rsid w:val="00A36A85"/>
    <w:rsid w:val="00A51672"/>
    <w:rsid w:val="00A52976"/>
    <w:rsid w:val="00A660C9"/>
    <w:rsid w:val="00A719EB"/>
    <w:rsid w:val="00A7743E"/>
    <w:rsid w:val="00A94CD3"/>
    <w:rsid w:val="00AB6C10"/>
    <w:rsid w:val="00AD08C9"/>
    <w:rsid w:val="00AE1769"/>
    <w:rsid w:val="00AF71B4"/>
    <w:rsid w:val="00AF7751"/>
    <w:rsid w:val="00B037F3"/>
    <w:rsid w:val="00B10E55"/>
    <w:rsid w:val="00B27A19"/>
    <w:rsid w:val="00B3001C"/>
    <w:rsid w:val="00B41DA1"/>
    <w:rsid w:val="00B43E94"/>
    <w:rsid w:val="00B86FB8"/>
    <w:rsid w:val="00B922CC"/>
    <w:rsid w:val="00BA7692"/>
    <w:rsid w:val="00BB5524"/>
    <w:rsid w:val="00BB565D"/>
    <w:rsid w:val="00BC0D5F"/>
    <w:rsid w:val="00BE7869"/>
    <w:rsid w:val="00BF64D8"/>
    <w:rsid w:val="00C27DA1"/>
    <w:rsid w:val="00C36500"/>
    <w:rsid w:val="00C416CC"/>
    <w:rsid w:val="00C455CA"/>
    <w:rsid w:val="00C462E9"/>
    <w:rsid w:val="00C64B26"/>
    <w:rsid w:val="00C737B1"/>
    <w:rsid w:val="00C81D51"/>
    <w:rsid w:val="00CC0C47"/>
    <w:rsid w:val="00CC37EF"/>
    <w:rsid w:val="00CD14B6"/>
    <w:rsid w:val="00CE16AA"/>
    <w:rsid w:val="00CE71D1"/>
    <w:rsid w:val="00D035F2"/>
    <w:rsid w:val="00D05787"/>
    <w:rsid w:val="00D23776"/>
    <w:rsid w:val="00D269A3"/>
    <w:rsid w:val="00D4203D"/>
    <w:rsid w:val="00D420FF"/>
    <w:rsid w:val="00D42A05"/>
    <w:rsid w:val="00D573F8"/>
    <w:rsid w:val="00D70E56"/>
    <w:rsid w:val="00D72BFA"/>
    <w:rsid w:val="00D72EE7"/>
    <w:rsid w:val="00D75505"/>
    <w:rsid w:val="00D868F2"/>
    <w:rsid w:val="00DC3841"/>
    <w:rsid w:val="00DD6D0B"/>
    <w:rsid w:val="00DE46B0"/>
    <w:rsid w:val="00DF0646"/>
    <w:rsid w:val="00E10CB5"/>
    <w:rsid w:val="00E15BF5"/>
    <w:rsid w:val="00E37AF1"/>
    <w:rsid w:val="00E42829"/>
    <w:rsid w:val="00E44D5B"/>
    <w:rsid w:val="00E51A54"/>
    <w:rsid w:val="00E635CF"/>
    <w:rsid w:val="00E648A2"/>
    <w:rsid w:val="00E6757B"/>
    <w:rsid w:val="00E93A93"/>
    <w:rsid w:val="00E974D3"/>
    <w:rsid w:val="00EB5744"/>
    <w:rsid w:val="00ED4746"/>
    <w:rsid w:val="00EE338A"/>
    <w:rsid w:val="00F2577C"/>
    <w:rsid w:val="00F36A52"/>
    <w:rsid w:val="00F37D26"/>
    <w:rsid w:val="00F43E09"/>
    <w:rsid w:val="00F47032"/>
    <w:rsid w:val="00F66830"/>
    <w:rsid w:val="00F91486"/>
    <w:rsid w:val="00FA3D70"/>
    <w:rsid w:val="00FA4979"/>
    <w:rsid w:val="00FC235C"/>
    <w:rsid w:val="00FC2509"/>
    <w:rsid w:val="00FD7C3B"/>
    <w:rsid w:val="07671024"/>
    <w:rsid w:val="07EF022B"/>
    <w:rsid w:val="0F7B7AC6"/>
    <w:rsid w:val="13F44128"/>
    <w:rsid w:val="2D4E3820"/>
    <w:rsid w:val="3E0D112B"/>
    <w:rsid w:val="4A1136F7"/>
    <w:rsid w:val="563D7B42"/>
    <w:rsid w:val="59751C61"/>
    <w:rsid w:val="5E5E7A49"/>
    <w:rsid w:val="618F69A9"/>
    <w:rsid w:val="628D1F36"/>
    <w:rsid w:val="635A4A9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uiPriority="99" w:semiHidden="0"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17"/>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9"/>
    <w:pPr>
      <w:keepNext/>
      <w:keepLines/>
      <w:spacing w:before="260" w:after="260" w:line="416" w:lineRule="auto"/>
      <w:outlineLvl w:val="1"/>
    </w:pPr>
    <w:rPr>
      <w:rFonts w:ascii="Cambria" w:hAnsi="Cambria" w:cs="Cambria"/>
      <w:b/>
      <w:bCs/>
      <w:sz w:val="32"/>
      <w:szCs w:val="32"/>
    </w:rPr>
  </w:style>
  <w:style w:type="paragraph" w:styleId="4">
    <w:name w:val="heading 3"/>
    <w:basedOn w:val="1"/>
    <w:next w:val="1"/>
    <w:link w:val="19"/>
    <w:qFormat/>
    <w:uiPriority w:val="9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9"/>
    <w:semiHidden/>
    <w:uiPriority w:val="99"/>
    <w:rPr>
      <w:b/>
      <w:bCs/>
    </w:rPr>
  </w:style>
  <w:style w:type="paragraph" w:styleId="6">
    <w:name w:val="annotation text"/>
    <w:basedOn w:val="1"/>
    <w:link w:val="28"/>
    <w:semiHidden/>
    <w:qFormat/>
    <w:uiPriority w:val="99"/>
    <w:pPr>
      <w:jc w:val="left"/>
    </w:pPr>
  </w:style>
  <w:style w:type="paragraph" w:styleId="7">
    <w:name w:val="Document Map"/>
    <w:basedOn w:val="1"/>
    <w:link w:val="30"/>
    <w:semiHidden/>
    <w:qFormat/>
    <w:uiPriority w:val="99"/>
    <w:pPr>
      <w:shd w:val="clear" w:color="auto" w:fill="000080"/>
    </w:pPr>
  </w:style>
  <w:style w:type="paragraph" w:styleId="8">
    <w:name w:val="Plain Text"/>
    <w:basedOn w:val="1"/>
    <w:link w:val="32"/>
    <w:unhideWhenUsed/>
    <w:uiPriority w:val="99"/>
    <w:pPr>
      <w:adjustRightInd w:val="0"/>
      <w:spacing w:line="312" w:lineRule="atLeast"/>
      <w:textAlignment w:val="baseline"/>
    </w:pPr>
    <w:rPr>
      <w:rFonts w:ascii="宋体" w:hAnsi="Courier New" w:cs="Times New Roman"/>
      <w:kern w:val="0"/>
      <w:szCs w:val="20"/>
    </w:rPr>
  </w:style>
  <w:style w:type="paragraph" w:styleId="9">
    <w:name w:val="Balloon Text"/>
    <w:basedOn w:val="1"/>
    <w:link w:val="21"/>
    <w:semiHidden/>
    <w:uiPriority w:val="99"/>
    <w:rPr>
      <w:sz w:val="18"/>
      <w:szCs w:val="18"/>
    </w:rPr>
  </w:style>
  <w:style w:type="paragraph" w:styleId="10">
    <w:name w:val="footer"/>
    <w:basedOn w:val="1"/>
    <w:link w:val="26"/>
    <w:uiPriority w:val="99"/>
    <w:pPr>
      <w:tabs>
        <w:tab w:val="center" w:pos="4153"/>
        <w:tab w:val="right" w:pos="8306"/>
      </w:tabs>
      <w:snapToGrid w:val="0"/>
      <w:jc w:val="left"/>
    </w:pPr>
    <w:rPr>
      <w:sz w:val="18"/>
      <w:szCs w:val="18"/>
    </w:rPr>
  </w:style>
  <w:style w:type="paragraph" w:styleId="11">
    <w:name w:val="header"/>
    <w:basedOn w:val="1"/>
    <w:link w:val="25"/>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semiHidden/>
    <w:uiPriority w:val="99"/>
    <w:pPr>
      <w:widowControl/>
      <w:spacing w:before="100" w:beforeAutospacing="1" w:after="100" w:afterAutospacing="1"/>
      <w:jc w:val="left"/>
    </w:pPr>
    <w:rPr>
      <w:rFonts w:ascii="宋体" w:hAnsi="宋体" w:cs="宋体"/>
      <w:kern w:val="0"/>
      <w:sz w:val="24"/>
      <w:szCs w:val="24"/>
    </w:rPr>
  </w:style>
  <w:style w:type="character" w:styleId="14">
    <w:name w:val="Hyperlink"/>
    <w:uiPriority w:val="99"/>
    <w:rPr>
      <w:color w:val="auto"/>
      <w:u w:val="single"/>
    </w:rPr>
  </w:style>
  <w:style w:type="character" w:styleId="15">
    <w:name w:val="annotation reference"/>
    <w:semiHidden/>
    <w:uiPriority w:val="99"/>
    <w:rPr>
      <w:sz w:val="21"/>
      <w:szCs w:val="21"/>
    </w:rPr>
  </w:style>
  <w:style w:type="character" w:customStyle="1" w:styleId="17">
    <w:name w:val="标题 1 Char"/>
    <w:link w:val="2"/>
    <w:locked/>
    <w:uiPriority w:val="99"/>
    <w:rPr>
      <w:rFonts w:ascii="Calibri" w:hAnsi="Calibri" w:eastAsia="宋体" w:cs="Calibri"/>
      <w:b/>
      <w:bCs/>
      <w:kern w:val="44"/>
      <w:sz w:val="44"/>
      <w:szCs w:val="44"/>
    </w:rPr>
  </w:style>
  <w:style w:type="character" w:customStyle="1" w:styleId="18">
    <w:name w:val="标题 2 Char"/>
    <w:link w:val="3"/>
    <w:locked/>
    <w:uiPriority w:val="99"/>
    <w:rPr>
      <w:rFonts w:ascii="Cambria" w:hAnsi="Cambria" w:eastAsia="宋体" w:cs="Cambria"/>
      <w:b/>
      <w:bCs/>
      <w:sz w:val="32"/>
      <w:szCs w:val="32"/>
    </w:rPr>
  </w:style>
  <w:style w:type="character" w:customStyle="1" w:styleId="19">
    <w:name w:val="标题 3 Char"/>
    <w:link w:val="4"/>
    <w:locked/>
    <w:uiPriority w:val="99"/>
    <w:rPr>
      <w:rFonts w:ascii="Calibri" w:hAnsi="Calibri" w:eastAsia="宋体" w:cs="Calibri"/>
      <w:b/>
      <w:bCs/>
      <w:sz w:val="32"/>
      <w:szCs w:val="32"/>
    </w:rPr>
  </w:style>
  <w:style w:type="character" w:customStyle="1" w:styleId="20">
    <w:name w:val="占位符文本1"/>
    <w:semiHidden/>
    <w:uiPriority w:val="99"/>
    <w:rPr>
      <w:color w:val="808080"/>
    </w:rPr>
  </w:style>
  <w:style w:type="character" w:customStyle="1" w:styleId="21">
    <w:name w:val="批注框文本 Char"/>
    <w:link w:val="9"/>
    <w:semiHidden/>
    <w:locked/>
    <w:uiPriority w:val="99"/>
    <w:rPr>
      <w:rFonts w:ascii="Calibri" w:hAnsi="Calibri" w:eastAsia="宋体" w:cs="Calibri"/>
      <w:sz w:val="18"/>
      <w:szCs w:val="18"/>
    </w:rPr>
  </w:style>
  <w:style w:type="character" w:customStyle="1" w:styleId="22">
    <w:name w:val="样式 Arial 10 磅"/>
    <w:uiPriority w:val="99"/>
    <w:rPr>
      <w:rFonts w:ascii="Arial" w:hAnsi="Arial" w:eastAsia="宋体" w:cs="Arial"/>
      <w:b/>
      <w:bCs/>
      <w:kern w:val="0"/>
      <w:sz w:val="28"/>
      <w:szCs w:val="28"/>
      <w:lang w:val="en-US" w:eastAsia="zh-CN"/>
    </w:rPr>
  </w:style>
  <w:style w:type="character" w:customStyle="1" w:styleId="23">
    <w:name w:val="apple-style-span"/>
    <w:uiPriority w:val="99"/>
    <w:rPr>
      <w:rFonts w:ascii="Tahoma" w:hAnsi="Tahoma" w:eastAsia="宋体" w:cs="Tahoma"/>
      <w:b/>
      <w:bCs/>
      <w:kern w:val="2"/>
      <w:sz w:val="24"/>
      <w:szCs w:val="24"/>
      <w:lang w:val="en-US" w:eastAsia="zh-CN"/>
    </w:rPr>
  </w:style>
  <w:style w:type="paragraph" w:customStyle="1" w:styleId="24">
    <w:name w:val="列出段落1"/>
    <w:basedOn w:val="1"/>
    <w:uiPriority w:val="99"/>
    <w:pPr>
      <w:ind w:firstLine="420" w:firstLineChars="200"/>
    </w:pPr>
  </w:style>
  <w:style w:type="character" w:customStyle="1" w:styleId="25">
    <w:name w:val="页眉 Char"/>
    <w:link w:val="11"/>
    <w:locked/>
    <w:uiPriority w:val="99"/>
    <w:rPr>
      <w:rFonts w:ascii="Calibri" w:hAnsi="Calibri" w:eastAsia="宋体" w:cs="Calibri"/>
      <w:sz w:val="18"/>
      <w:szCs w:val="18"/>
    </w:rPr>
  </w:style>
  <w:style w:type="character" w:customStyle="1" w:styleId="26">
    <w:name w:val="页脚 Char"/>
    <w:link w:val="10"/>
    <w:locked/>
    <w:uiPriority w:val="99"/>
    <w:rPr>
      <w:rFonts w:ascii="Calibri" w:hAnsi="Calibri" w:eastAsia="宋体" w:cs="Calibri"/>
      <w:sz w:val="18"/>
      <w:szCs w:val="18"/>
    </w:rPr>
  </w:style>
  <w:style w:type="paragraph" w:styleId="27">
    <w:name w:val="List Paragraph"/>
    <w:basedOn w:val="1"/>
    <w:qFormat/>
    <w:uiPriority w:val="99"/>
    <w:pPr>
      <w:ind w:firstLine="420" w:firstLineChars="200"/>
    </w:pPr>
  </w:style>
  <w:style w:type="character" w:customStyle="1" w:styleId="28">
    <w:name w:val="批注文字 Char"/>
    <w:link w:val="6"/>
    <w:semiHidden/>
    <w:qFormat/>
    <w:locked/>
    <w:uiPriority w:val="99"/>
    <w:rPr>
      <w:rFonts w:ascii="Calibri" w:hAnsi="Calibri" w:eastAsia="宋体" w:cs="Calibri"/>
    </w:rPr>
  </w:style>
  <w:style w:type="character" w:customStyle="1" w:styleId="29">
    <w:name w:val="批注主题 Char"/>
    <w:link w:val="5"/>
    <w:semiHidden/>
    <w:locked/>
    <w:uiPriority w:val="99"/>
    <w:rPr>
      <w:rFonts w:ascii="Calibri" w:hAnsi="Calibri" w:eastAsia="宋体" w:cs="Calibri"/>
      <w:b/>
      <w:bCs/>
    </w:rPr>
  </w:style>
  <w:style w:type="character" w:customStyle="1" w:styleId="30">
    <w:name w:val="文档结构图 Char"/>
    <w:link w:val="7"/>
    <w:semiHidden/>
    <w:uiPriority w:val="99"/>
    <w:rPr>
      <w:rFonts w:ascii="Times New Roman" w:hAnsi="Times New Roman" w:cs="Calibri"/>
      <w:sz w:val="0"/>
      <w:szCs w:val="0"/>
    </w:rPr>
  </w:style>
  <w:style w:type="paragraph" w:customStyle="1" w:styleId="31">
    <w:name w:val="Revision"/>
    <w:hidden/>
    <w:semiHidden/>
    <w:uiPriority w:val="99"/>
    <w:rPr>
      <w:rFonts w:ascii="Calibri" w:hAnsi="Calibri" w:eastAsia="宋体" w:cs="Calibri"/>
      <w:kern w:val="2"/>
      <w:sz w:val="21"/>
      <w:szCs w:val="21"/>
      <w:lang w:val="en-US" w:eastAsia="zh-CN" w:bidi="ar-SA"/>
    </w:rPr>
  </w:style>
  <w:style w:type="character" w:customStyle="1" w:styleId="32">
    <w:name w:val="纯文本 Char"/>
    <w:basedOn w:val="13"/>
    <w:link w:val="8"/>
    <w:qFormat/>
    <w:uiPriority w:val="99"/>
    <w:rPr>
      <w:rFonts w:ascii="宋体" w:hAnsi="Courier New"/>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172</Words>
  <Characters>982</Characters>
  <Lines>8</Lines>
  <Paragraphs>2</Paragraphs>
  <TotalTime>0</TotalTime>
  <ScaleCrop>false</ScaleCrop>
  <LinksUpToDate>false</LinksUpToDate>
  <CharactersWithSpaces>1152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2017-08-04T07:05:00Z</dcterms:created>
  <dc:creator>WLY</dc:creator>
  <cp:lastModifiedBy>lstyle</cp:lastModifiedBy>
  <dcterms:modified xsi:type="dcterms:W3CDTF">2018-04-05T04:02:27Z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