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1200"/>
        <w:jc w:val="center"/>
      </w:pPr>
      <w:r>
        <w:rPr>
          <w:rFonts w:ascii="Arial" w:eastAsia="Microsoft YaHei" w:hAnsi="Arial"/>
          <w:b/>
          <w:bCs/>
          <w:color w:val="1F1F1F"/>
          <w:sz w:val="44"/>
          <w:szCs w:val="44"/>
        </w:rPr>
        <w:t xml:space="preserve">生涯心旅 · 功能与技术说明（评审版）</w:t>
      </w:r>
    </w:p>
    <w:p>
      <w:pPr>
        <w:spacing w:after="100" w:before="0" w:line="300"/>
        <w:jc w:val="center"/>
      </w:pPr>
      <w:r>
        <w:rPr>
          <w:rFonts w:ascii="Arial" w:eastAsia="Microsoft YaHei" w:hAnsi="Arial"/>
          <w:b/>
          <w:bCs/>
          <w:color w:val="595959"/>
          <w:sz w:val="19"/>
          <w:szCs w:val="19"/>
        </w:rPr>
        <w:t xml:space="preserve">文档用途</w:t>
      </w:r>
      <w:r>
        <w:rPr>
          <w:rFonts w:ascii="Arial" w:eastAsia="Microsoft YaHei" w:hAnsi="Arial"/>
          <w:color w:val="595959"/>
          <w:sz w:val="19"/>
          <w:szCs w:val="19"/>
        </w:rPr>
        <w:t xml:space="preserve">：面向功能评审，说明平台的核心技术能力、功能范围、业务规则与已知边界。</w:t>
      </w:r>
    </w:p>
    <w:p>
      <w:pPr>
        <w:spacing w:after="100" w:before="0" w:line="300"/>
        <w:jc w:val="center"/>
      </w:pPr>
      <w:r>
        <w:rPr>
          <w:rFonts w:ascii="Arial" w:eastAsia="Microsoft YaHei" w:hAnsi="Arial"/>
          <w:b/>
          <w:bCs/>
          <w:color w:val="595959"/>
          <w:sz w:val="19"/>
          <w:szCs w:val="19"/>
        </w:rPr>
        <w:t xml:space="preserve">阅读对象</w:t>
      </w:r>
      <w:r>
        <w:rPr>
          <w:rFonts w:ascii="Arial" w:eastAsia="Microsoft YaHei" w:hAnsi="Arial"/>
          <w:color w:val="595959"/>
          <w:sz w:val="19"/>
          <w:szCs w:val="19"/>
        </w:rPr>
        <w:t xml:space="preserve">：产品、设计、测试、业务方与验收人员。</w:t>
      </w:r>
    </w:p>
    <w:p>
      <w:pPr>
        <w:spacing w:after="100" w:before="0" w:line="300"/>
        <w:jc w:val="center"/>
      </w:pPr>
      <w:r>
        <w:rPr>
          <w:rFonts w:ascii="Arial" w:eastAsia="Microsoft YaHei" w:hAnsi="Arial"/>
          <w:b/>
          <w:bCs/>
          <w:color w:val="595959"/>
          <w:sz w:val="19"/>
          <w:szCs w:val="19"/>
        </w:rPr>
        <w:t xml:space="preserve">说明</w:t>
      </w:r>
      <w:r>
        <w:rPr>
          <w:rFonts w:ascii="Arial" w:eastAsia="Microsoft YaHei" w:hAnsi="Arial"/>
          <w:color w:val="595959"/>
          <w:sz w:val="19"/>
          <w:szCs w:val="19"/>
        </w:rPr>
        <w:t xml:space="preserve">：本文只描述「做什么、怎么做、边界在哪」，不涉及代码、工程结构与接口字段；实现级细节另见技术文档。</w:t>
      </w:r>
    </w:p>
    <w:p>
      <w:pPr>
        <w:spacing w:before="2000"/>
      </w:pPr>
      <w:r>
        <w:br w:type="page"/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1F1F1F"/>
          <w:sz w:val="28"/>
          <w:szCs w:val="28"/>
        </w:rPr>
        <w:t xml:space="preserve">1. 产品定位与范围</w:t>
      </w: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1.1 定位</w:t>
      </w:r>
    </w:p>
    <w:p>
      <w:pPr>
        <w:spacing w:after="100" w:before="40" w:line="340"/>
      </w:pPr>
      <w:r>
        <w:rPr>
          <w:rFonts w:ascii="Arial" w:eastAsia="Microsoft YaHei" w:hAnsi="Arial"/>
          <w:sz w:val="21"/>
          <w:szCs w:val="21"/>
        </w:rPr>
        <w:t xml:space="preserve">面向高校学生的心理健康与生涯发展服务平台。一套前端支撑多所学校独立站点：每所学校拥有独立域名、独立品牌与独立模块清单，数据与内容由后端统一提供。平台无管理后台，站点配置由后端下发。</w:t>
      </w: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1.2 角色与场景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1"/>
        <w:gridCol w:w="3522"/>
        <w:gridCol w:w="3963"/>
      </w:tblGrid>
      <w:tr>
        <w:trPr>
          <w:cantSplit/>
          <w:tblHeader/>
        </w:trPr>
        <w:tc>
          <w:tcPr>
            <w:tcW w:type="dxa" w:w="154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角色</w:t>
            </w:r>
          </w:p>
        </w:tc>
        <w:tc>
          <w:tcPr>
            <w:tcW w:type="dxa" w:w="352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使用方式</w:t>
            </w:r>
          </w:p>
        </w:tc>
        <w:tc>
          <w:tcPr>
            <w:tcW w:type="dxa" w:w="39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主要诉求</w:t>
            </w:r>
          </w:p>
        </w:tc>
      </w:tr>
      <w:tr>
        <w:trPr>
          <w:cantSplit/>
          <w:tblHeader w:val="off"/>
        </w:trPr>
        <w:tc>
          <w:tcPr>
            <w:tcW w:type="dxa" w:w="154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学生</w:t>
            </w:r>
          </w:p>
        </w:tc>
        <w:tc>
          <w:tcPr>
            <w:tcW w:type="dxa" w:w="352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浏览器访问，PC 与移动端自适应</w:t>
            </w:r>
          </w:p>
        </w:tc>
        <w:tc>
          <w:tcPr>
            <w:tcW w:type="dxa" w:w="39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测评、阅读、倾诉、预约咨询、记录心情</w:t>
            </w:r>
          </w:p>
        </w:tc>
      </w:tr>
      <w:tr>
        <w:trPr>
          <w:cantSplit/>
          <w:tblHeader w:val="off"/>
        </w:trPr>
        <w:tc>
          <w:tcPr>
            <w:tcW w:type="dxa" w:w="154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学校（租户）</w:t>
            </w:r>
          </w:p>
        </w:tc>
        <w:tc>
          <w:tcPr>
            <w:tcW w:type="dxa" w:w="352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独立域名或子域名站点</w:t>
            </w:r>
          </w:p>
        </w:tc>
        <w:tc>
          <w:tcPr>
            <w:tcW w:type="dxa" w:w="39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品牌自主、模块按需开通</w:t>
            </w:r>
          </w:p>
        </w:tc>
      </w:tr>
      <w:tr>
        <w:trPr>
          <w:cantSplit/>
          <w:tblHeader w:val="off"/>
        </w:trPr>
        <w:tc>
          <w:tcPr>
            <w:tcW w:type="dxa" w:w="154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内容与咨询团队</w:t>
            </w:r>
          </w:p>
        </w:tc>
        <w:tc>
          <w:tcPr>
            <w:tcW w:type="dxa" w:w="352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通过后端维护内容、量表与排班</w:t>
            </w:r>
          </w:p>
        </w:tc>
        <w:tc>
          <w:tcPr>
            <w:tcW w:type="dxa" w:w="39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内容及时更新、预约可管理</w:t>
            </w:r>
          </w:p>
        </w:tc>
      </w:tr>
      <w:tr>
        <w:trPr>
          <w:cantSplit/>
          <w:tblHeader w:val="off"/>
        </w:trPr>
        <w:tc>
          <w:tcPr>
            <w:tcW w:type="dxa" w:w="154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评审与验收方</w:t>
            </w:r>
          </w:p>
        </w:tc>
        <w:tc>
          <w:tcPr>
            <w:tcW w:type="dxa" w:w="352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演示环境</w:t>
            </w:r>
          </w:p>
        </w:tc>
        <w:tc>
          <w:tcPr>
            <w:tcW w:type="dxa" w:w="39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功能完整可走通、边界清晰</w:t>
            </w:r>
          </w:p>
        </w:tc>
      </w:tr>
    </w:tbl>
    <w:p>
      <w:pPr>
        <w:spacing w:after="120"/>
      </w:pP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1.3 本期范围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1"/>
        <w:gridCol w:w="4425"/>
      </w:tblGrid>
      <w:tr>
        <w:trPr>
          <w:cantSplit/>
          <w:tblHeader/>
        </w:trPr>
        <w:tc>
          <w:tcPr>
            <w:tcW w:type="dxa" w:w="46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已实现</w:t>
            </w:r>
          </w:p>
        </w:tc>
        <w:tc>
          <w:tcPr>
            <w:tcW w:type="dxa" w:w="44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不在本期</w:t>
            </w:r>
          </w:p>
        </w:tc>
      </w:tr>
      <w:tr>
        <w:trPr>
          <w:cantSplit/>
          <w:tblHeader w:val="off"/>
        </w:trPr>
        <w:tc>
          <w:tcPr>
            <w:tcW w:type="dxa" w:w="46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首页、时光胶囊、心事广场、心理测评、心晴阅读、咨询中心（含 AI 对话与陪伴）、个人中心与设置、登录与错误页</w:t>
            </w:r>
          </w:p>
        </w:tc>
        <w:tc>
          <w:tcPr>
            <w:tcW w:type="dxa" w:w="44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管理后台、在线支付、真实音视频咨询、内容审核工作流</w:t>
            </w:r>
          </w:p>
        </w:tc>
      </w:tr>
      <w:tr>
        <w:trPr>
          <w:cantSplit/>
          <w:tblHeader w:val="off"/>
        </w:trPr>
        <w:tc>
          <w:tcPr>
            <w:tcW w:type="dxa" w:w="46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三语切换、明暗主题、多租户品牌与模块裁剪、实时通知、演示数据</w:t>
            </w:r>
          </w:p>
        </w:tc>
        <w:tc>
          <w:tcPr>
            <w:tcW w:type="dxa" w:w="44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消息中心独立页面、账号自助注册与找回密码</w:t>
            </w:r>
          </w:p>
        </w:tc>
      </w:tr>
    </w:tbl>
    <w:p>
      <w:pPr>
        <w:spacing w:after="120"/>
      </w:pP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1F1F1F"/>
          <w:sz w:val="28"/>
          <w:szCs w:val="28"/>
        </w:rPr>
        <w:t xml:space="preserve">2. 核心技术</w:t>
      </w: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2.1 技术选型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5"/>
        <w:gridCol w:w="4307"/>
        <w:gridCol w:w="3694"/>
      </w:tblGrid>
      <w:tr>
        <w:trPr>
          <w:cantSplit/>
          <w:tblHeader/>
        </w:trPr>
        <w:tc>
          <w:tcPr>
            <w:tcW w:type="dxa" w:w="10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能力</w:t>
            </w:r>
          </w:p>
        </w:tc>
        <w:tc>
          <w:tcPr>
            <w:tcW w:type="dxa" w:w="43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技术</w:t>
            </w:r>
          </w:p>
        </w:tc>
        <w:tc>
          <w:tcPr>
            <w:tcW w:type="dxa" w:w="369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作用</w:t>
            </w:r>
          </w:p>
        </w:tc>
      </w:tr>
      <w:tr>
        <w:trPr>
          <w:cantSplit/>
          <w:tblHeader w:val="off"/>
        </w:trPr>
        <w:tc>
          <w:tcPr>
            <w:tcW w:type="dxa" w:w="10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界面框架</w:t>
            </w:r>
          </w:p>
        </w:tc>
        <w:tc>
          <w:tcPr>
            <w:tcW w:type="dxa" w:w="43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React 18 + TypeScript</w:t>
            </w:r>
          </w:p>
        </w:tc>
        <w:tc>
          <w:tcPr>
            <w:tcW w:type="dxa" w:w="369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组件化开发，类型约束降低联调偏差</w:t>
            </w:r>
          </w:p>
        </w:tc>
      </w:tr>
      <w:tr>
        <w:trPr>
          <w:cantSplit/>
          <w:tblHeader w:val="off"/>
        </w:trPr>
        <w:tc>
          <w:tcPr>
            <w:tcW w:type="dxa" w:w="10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构建与打包</w:t>
            </w:r>
          </w:p>
        </w:tc>
        <w:tc>
          <w:tcPr>
            <w:tcW w:type="dxa" w:w="43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Vite 7</w:t>
            </w:r>
          </w:p>
        </w:tc>
        <w:tc>
          <w:tcPr>
            <w:tcW w:type="dxa" w:w="369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快速构建，页面按需拆分加载</w:t>
            </w:r>
          </w:p>
        </w:tc>
      </w:tr>
      <w:tr>
        <w:trPr>
          <w:cantSplit/>
          <w:tblHeader w:val="off"/>
        </w:trPr>
        <w:tc>
          <w:tcPr>
            <w:tcW w:type="dxa" w:w="10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组件库</w:t>
            </w:r>
          </w:p>
        </w:tc>
        <w:tc>
          <w:tcPr>
            <w:tcW w:type="dxa" w:w="43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Ant Design 6</w:t>
            </w:r>
          </w:p>
        </w:tc>
        <w:tc>
          <w:tcPr>
            <w:tcW w:type="dxa" w:w="369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表单、弹层、提示等复杂控件的统一体验</w:t>
            </w:r>
          </w:p>
        </w:tc>
      </w:tr>
      <w:tr>
        <w:trPr>
          <w:cantSplit/>
          <w:tblHeader w:val="off"/>
        </w:trPr>
        <w:tc>
          <w:tcPr>
            <w:tcW w:type="dxa" w:w="10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路由</w:t>
            </w:r>
          </w:p>
        </w:tc>
        <w:tc>
          <w:tcPr>
            <w:tcW w:type="dxa" w:w="43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前端路由</w:t>
            </w:r>
          </w:p>
        </w:tc>
        <w:tc>
          <w:tcPr>
            <w:tcW w:type="dxa" w:w="369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页面级懒加载，首屏更快</w:t>
            </w:r>
          </w:p>
        </w:tc>
      </w:tr>
      <w:tr>
        <w:trPr>
          <w:cantSplit/>
          <w:tblHeader w:val="off"/>
        </w:trPr>
        <w:tc>
          <w:tcPr>
            <w:tcW w:type="dxa" w:w="10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服务端数据</w:t>
            </w:r>
          </w:p>
        </w:tc>
        <w:tc>
          <w:tcPr>
            <w:tcW w:type="dxa" w:w="43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React Query</w:t>
            </w:r>
          </w:p>
        </w:tc>
        <w:tc>
          <w:tcPr>
            <w:tcW w:type="dxa" w:w="369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缓存、重试、失效与乐观更新</w:t>
            </w:r>
          </w:p>
        </w:tc>
      </w:tr>
      <w:tr>
        <w:trPr>
          <w:cantSplit/>
          <w:tblHeader w:val="off"/>
        </w:trPr>
        <w:tc>
          <w:tcPr>
            <w:tcW w:type="dxa" w:w="10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实时通道</w:t>
            </w:r>
          </w:p>
        </w:tc>
        <w:tc>
          <w:tcPr>
            <w:tcW w:type="dxa" w:w="43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SignalR</w:t>
            </w:r>
          </w:p>
        </w:tc>
        <w:tc>
          <w:tcPr>
            <w:tcW w:type="dxa" w:w="369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通知推送、强制下线</w:t>
            </w:r>
          </w:p>
        </w:tc>
      </w:tr>
      <w:tr>
        <w:trPr>
          <w:cantSplit/>
          <w:tblHeader w:val="off"/>
        </w:trPr>
        <w:tc>
          <w:tcPr>
            <w:tcW w:type="dxa" w:w="10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多语言</w:t>
            </w:r>
          </w:p>
        </w:tc>
        <w:tc>
          <w:tcPr>
            <w:tcW w:type="dxa" w:w="43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自建轻量方案</w:t>
            </w:r>
          </w:p>
        </w:tc>
        <w:tc>
          <w:tcPr>
            <w:tcW w:type="dxa" w:w="369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三套语言包，无额外依赖</w:t>
            </w:r>
          </w:p>
        </w:tc>
      </w:tr>
      <w:tr>
        <w:trPr>
          <w:cantSplit/>
          <w:tblHeader w:val="off"/>
        </w:trPr>
        <w:tc>
          <w:tcPr>
            <w:tcW w:type="dxa" w:w="10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演示数据</w:t>
            </w:r>
          </w:p>
        </w:tc>
        <w:tc>
          <w:tcPr>
            <w:tcW w:type="dxa" w:w="43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Mock Service Worker</w:t>
            </w:r>
          </w:p>
        </w:tc>
        <w:tc>
          <w:tcPr>
            <w:tcW w:type="dxa" w:w="369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后端未就绪时前端可独立演示</w:t>
            </w:r>
          </w:p>
        </w:tc>
      </w:tr>
    </w:tbl>
    <w:p>
      <w:pPr>
        <w:spacing w:after="120"/>
      </w:pP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2.2 分层结构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0"/>
        <w:gridCol w:w="7146"/>
      </w:tblGrid>
      <w:tr>
        <w:trPr>
          <w:cantSplit/>
          <w:tblHeader/>
        </w:trPr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层</w:t>
            </w:r>
          </w:p>
        </w:tc>
        <w:tc>
          <w:tcPr>
            <w:tcW w:type="dxa" w:w="7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职责</w:t>
            </w:r>
          </w:p>
        </w:tc>
      </w:tr>
      <w:tr>
        <w:trPr>
          <w:cantSplit/>
          <w:tblHeader w:val="off"/>
        </w:trPr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页面层</w:t>
            </w:r>
          </w:p>
        </w:tc>
        <w:tc>
          <w:tcPr>
            <w:tcW w:type="dxa" w:w="7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每个页面独立加载，持有自身的数据请求</w:t>
            </w:r>
          </w:p>
        </w:tc>
      </w:tr>
      <w:tr>
        <w:trPr>
          <w:cantSplit/>
          <w:tblHeader w:val="off"/>
        </w:trPr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业务组件层</w:t>
            </w:r>
          </w:p>
        </w:tc>
        <w:tc>
          <w:tcPr>
            <w:tcW w:type="dxa" w:w="7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模块内组件，只消费数据，不直接访问接口</w:t>
            </w:r>
          </w:p>
        </w:tc>
      </w:tr>
      <w:tr>
        <w:trPr>
          <w:cantSplit/>
          <w:tblHeader w:val="off"/>
        </w:trPr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数据访问层</w:t>
            </w:r>
          </w:p>
        </w:tc>
        <w:tc>
          <w:tcPr>
            <w:tcW w:type="dxa" w:w="7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统一请求出口、租户标识注入、错误归一化</w:t>
            </w:r>
          </w:p>
        </w:tc>
      </w:tr>
      <w:tr>
        <w:trPr>
          <w:cantSplit/>
          <w:tblHeader w:val="off"/>
        </w:trPr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状态层</w:t>
            </w:r>
          </w:p>
        </w:tc>
        <w:tc>
          <w:tcPr>
            <w:tcW w:type="dxa" w:w="7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会话、租户、主题、实时四类全局状态</w:t>
            </w:r>
          </w:p>
        </w:tc>
      </w:tr>
      <w:tr>
        <w:trPr>
          <w:cantSplit/>
          <w:tblHeader w:val="off"/>
        </w:trPr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壳层</w:t>
            </w:r>
          </w:p>
        </w:tc>
        <w:tc>
          <w:tcPr>
            <w:tcW w:type="dxa" w:w="7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布局、导航、访问守卫、主题注入</w:t>
            </w:r>
          </w:p>
        </w:tc>
      </w:tr>
      <w:tr>
        <w:trPr>
          <w:cantSplit/>
          <w:tblHeader w:val="off"/>
        </w:trPr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配置层</w:t>
            </w:r>
          </w:p>
        </w:tc>
        <w:tc>
          <w:tcPr>
            <w:tcW w:type="dxa" w:w="7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页面注册、租户配置解析与合并</w:t>
            </w:r>
          </w:p>
        </w:tc>
      </w:tr>
    </w:tbl>
    <w:p>
      <w:pPr>
        <w:spacing w:after="120"/>
      </w:pP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2.3 启动与恢复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4"/>
        <w:gridCol w:w="3829"/>
        <w:gridCol w:w="4103"/>
      </w:tblGrid>
      <w:tr>
        <w:trPr>
          <w:cantSplit/>
          <w:tblHeader/>
        </w:trPr>
        <w:tc>
          <w:tcPr>
            <w:tcW w:type="dxa" w:w="109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步骤</w:t>
            </w:r>
          </w:p>
        </w:tc>
        <w:tc>
          <w:tcPr>
            <w:tcW w:type="dxa" w:w="38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行为</w:t>
            </w:r>
          </w:p>
        </w:tc>
        <w:tc>
          <w:tcPr>
            <w:tcW w:type="dxa" w:w="41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对用户的影响</w:t>
            </w:r>
          </w:p>
        </w:tc>
      </w:tr>
      <w:tr>
        <w:trPr>
          <w:cantSplit/>
          <w:tblHeader w:val="off"/>
        </w:trPr>
        <w:tc>
          <w:tcPr>
            <w:tcW w:type="dxa" w:w="109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8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首帧预置明暗主题与品牌色</w:t>
            </w:r>
          </w:p>
        </w:tc>
        <w:tc>
          <w:tcPr>
            <w:tcW w:type="dxa" w:w="41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无闪白、无闪色</w:t>
            </w:r>
          </w:p>
        </w:tc>
      </w:tr>
      <w:tr>
        <w:trPr>
          <w:cantSplit/>
          <w:tblHeader w:val="off"/>
        </w:trPr>
        <w:tc>
          <w:tcPr>
            <w:tcW w:type="dxa" w:w="109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8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演示数据就绪（仅开发环境）</w:t>
            </w:r>
          </w:p>
        </w:tc>
        <w:tc>
          <w:tcPr>
            <w:tcW w:type="dxa" w:w="41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无后端也能完整浏览</w:t>
            </w:r>
          </w:p>
        </w:tc>
      </w:tr>
      <w:tr>
        <w:trPr>
          <w:cantSplit/>
          <w:tblHeader w:val="off"/>
        </w:trPr>
        <w:tc>
          <w:tcPr>
            <w:tcW w:type="dxa" w:w="109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8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渲染界面，先使用默认租户配置</w:t>
            </w:r>
          </w:p>
        </w:tc>
        <w:tc>
          <w:tcPr>
            <w:tcW w:type="dxa" w:w="41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首屏不等待接口</w:t>
            </w:r>
          </w:p>
        </w:tc>
      </w:tr>
      <w:tr>
        <w:trPr>
          <w:cantSplit/>
          <w:tblHeader w:val="off"/>
        </w:trPr>
        <w:tc>
          <w:tcPr>
            <w:tcW w:type="dxa" w:w="109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8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读取租户缓存并后台刷新</w:t>
            </w:r>
          </w:p>
        </w:tc>
        <w:tc>
          <w:tcPr>
            <w:tcW w:type="dxa" w:w="41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品牌与模块清单即时生效</w:t>
            </w:r>
          </w:p>
        </w:tc>
      </w:tr>
      <w:tr>
        <w:trPr>
          <w:cantSplit/>
          <w:tblHeader w:val="off"/>
        </w:trPr>
        <w:tc>
          <w:tcPr>
            <w:tcW w:type="dxa" w:w="109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8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校验会话</w:t>
            </w:r>
          </w:p>
        </w:tc>
        <w:tc>
          <w:tcPr>
            <w:tcW w:type="dxa" w:w="41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已登录直接进入，未登录按需引导</w:t>
            </w:r>
          </w:p>
        </w:tc>
      </w:tr>
    </w:tbl>
    <w:p>
      <w:pPr>
        <w:spacing w:after="120"/>
      </w:pP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2.4 数据与状态策略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会话以服务端为准，本地只保留「记住我」偏好，避免出现陈旧的已登录状态。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列表数据缓存 30 秒；菜单等低频数据缓存 10 分钟；窗口重新聚焦不强制刷新。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写操作成功后按业务域批量刷新，保证列表与详情一致。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点赞、评论点赞采用乐观更新：先给出反馈，失败自动回滚并提示。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关键词搜索 300 毫秒防抖，翻页保留上一页结果，避免闪烁。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1F1F1F"/>
          <w:sz w:val="28"/>
          <w:szCs w:val="28"/>
        </w:rPr>
        <w:t xml:space="preserve">3. 访问与权限</w:t>
      </w: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3.1 会话三态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3"/>
        <w:gridCol w:w="3008"/>
        <w:gridCol w:w="4815"/>
      </w:tblGrid>
      <w:tr>
        <w:trPr>
          <w:cantSplit/>
          <w:tblHeader/>
        </w:trPr>
        <w:tc>
          <w:tcPr>
            <w:tcW w:type="dxa" w:w="12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含义</w:t>
            </w:r>
          </w:p>
        </w:tc>
        <w:tc>
          <w:tcPr>
            <w:tcW w:type="dxa" w:w="481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界面表现</w:t>
            </w:r>
          </w:p>
        </w:tc>
      </w:tr>
      <w:tr>
        <w:trPr>
          <w:cantSplit/>
          <w:tblHeader w:val="off"/>
        </w:trPr>
        <w:tc>
          <w:tcPr>
            <w:tcW w:type="dxa" w:w="12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校验中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正在向服务端确认身份</w:t>
            </w:r>
          </w:p>
        </w:tc>
        <w:tc>
          <w:tcPr>
            <w:tcW w:type="dxa" w:w="481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显示加载，不闪现登录表单</w:t>
            </w:r>
          </w:p>
        </w:tc>
      </w:tr>
      <w:tr>
        <w:trPr>
          <w:cantSplit/>
          <w:tblHeader w:val="off"/>
        </w:trPr>
        <w:tc>
          <w:tcPr>
            <w:tcW w:type="dxa" w:w="12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已登录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服务端确认会话有效</w:t>
            </w:r>
          </w:p>
        </w:tc>
        <w:tc>
          <w:tcPr>
            <w:tcW w:type="dxa" w:w="481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展示用户信息，可进入受限页面</w:t>
            </w:r>
          </w:p>
        </w:tc>
      </w:tr>
      <w:tr>
        <w:trPr>
          <w:cantSplit/>
          <w:tblHeader w:val="off"/>
        </w:trPr>
        <w:tc>
          <w:tcPr>
            <w:tcW w:type="dxa" w:w="12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未登录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无有效会话</w:t>
            </w:r>
          </w:p>
        </w:tc>
        <w:tc>
          <w:tcPr>
            <w:tcW w:type="dxa" w:w="481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可浏览公开页面，受限页面引导登录</w:t>
            </w:r>
          </w:p>
        </w:tc>
      </w:tr>
    </w:tbl>
    <w:p>
      <w:pPr>
        <w:spacing w:after="120"/>
      </w:pP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3.2 访问规则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4"/>
        <w:gridCol w:w="1914"/>
        <w:gridCol w:w="2461"/>
        <w:gridCol w:w="3557"/>
      </w:tblGrid>
      <w:tr>
        <w:trPr>
          <w:cantSplit/>
          <w:tblHeader/>
        </w:trPr>
        <w:tc>
          <w:tcPr>
            <w:tcW w:type="dxa" w:w="109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7"/>
                <w:szCs w:val="17"/>
              </w:rPr>
              <w:t xml:space="preserve">是否登录</w:t>
            </w:r>
          </w:p>
        </w:tc>
        <w:tc>
          <w:tcPr>
            <w:tcW w:type="dxa" w:w="19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7"/>
                <w:szCs w:val="17"/>
              </w:rPr>
              <w:t xml:space="preserve">页面是否需登录</w:t>
            </w:r>
          </w:p>
        </w:tc>
        <w:tc>
          <w:tcPr>
            <w:tcW w:type="dxa" w:w="246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7"/>
                <w:szCs w:val="17"/>
              </w:rPr>
              <w:t xml:space="preserve">模块与路径是否开通</w:t>
            </w:r>
          </w:p>
        </w:tc>
        <w:tc>
          <w:tcPr>
            <w:tcW w:type="dxa" w:w="35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7"/>
                <w:szCs w:val="17"/>
              </w:rPr>
              <w:t xml:space="preserve">结果</w:t>
            </w:r>
          </w:p>
        </w:tc>
      </w:tr>
      <w:tr>
        <w:trPr>
          <w:cantSplit/>
          <w:tblHeader w:val="off"/>
        </w:trPr>
        <w:tc>
          <w:tcPr>
            <w:tcW w:type="dxa" w:w="109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未登录</w:t>
            </w:r>
          </w:p>
        </w:tc>
        <w:tc>
          <w:tcPr>
            <w:tcW w:type="dxa" w:w="19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否</w:t>
            </w:r>
          </w:p>
        </w:tc>
        <w:tc>
          <w:tcPr>
            <w:tcW w:type="dxa" w:w="246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是</w:t>
            </w:r>
          </w:p>
        </w:tc>
        <w:tc>
          <w:tcPr>
            <w:tcW w:type="dxa" w:w="35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正常访问</w:t>
            </w:r>
          </w:p>
        </w:tc>
      </w:tr>
      <w:tr>
        <w:trPr>
          <w:cantSplit/>
          <w:tblHeader w:val="off"/>
        </w:trPr>
        <w:tc>
          <w:tcPr>
            <w:tcW w:type="dxa" w:w="109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未登录</w:t>
            </w:r>
          </w:p>
        </w:tc>
        <w:tc>
          <w:tcPr>
            <w:tcW w:type="dxa" w:w="19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否</w:t>
            </w:r>
          </w:p>
        </w:tc>
        <w:tc>
          <w:tcPr>
            <w:tcW w:type="dxa" w:w="246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否</w:t>
            </w:r>
          </w:p>
        </w:tc>
        <w:tc>
          <w:tcPr>
            <w:tcW w:type="dxa" w:w="35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无权限页</w:t>
            </w:r>
          </w:p>
        </w:tc>
      </w:tr>
      <w:tr>
        <w:trPr>
          <w:cantSplit/>
          <w:tblHeader w:val="off"/>
        </w:trPr>
        <w:tc>
          <w:tcPr>
            <w:tcW w:type="dxa" w:w="109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未登录</w:t>
            </w:r>
          </w:p>
        </w:tc>
        <w:tc>
          <w:tcPr>
            <w:tcW w:type="dxa" w:w="19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是</w:t>
            </w:r>
          </w:p>
        </w:tc>
        <w:tc>
          <w:tcPr>
            <w:tcW w:type="dxa" w:w="246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任意</w:t>
            </w:r>
          </w:p>
        </w:tc>
        <w:tc>
          <w:tcPr>
            <w:tcW w:type="dxa" w:w="35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跳转登录，登录后回到原页面</w:t>
            </w:r>
          </w:p>
        </w:tc>
      </w:tr>
      <w:tr>
        <w:trPr>
          <w:cantSplit/>
          <w:tblHeader w:val="off"/>
        </w:trPr>
        <w:tc>
          <w:tcPr>
            <w:tcW w:type="dxa" w:w="109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已登录</w:t>
            </w:r>
          </w:p>
        </w:tc>
        <w:tc>
          <w:tcPr>
            <w:tcW w:type="dxa" w:w="19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任意</w:t>
            </w:r>
          </w:p>
        </w:tc>
        <w:tc>
          <w:tcPr>
            <w:tcW w:type="dxa" w:w="246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是</w:t>
            </w:r>
          </w:p>
        </w:tc>
        <w:tc>
          <w:tcPr>
            <w:tcW w:type="dxa" w:w="35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正常访问</w:t>
            </w:r>
          </w:p>
        </w:tc>
      </w:tr>
      <w:tr>
        <w:trPr>
          <w:cantSplit/>
          <w:tblHeader w:val="off"/>
        </w:trPr>
        <w:tc>
          <w:tcPr>
            <w:tcW w:type="dxa" w:w="109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已登录</w:t>
            </w:r>
          </w:p>
        </w:tc>
        <w:tc>
          <w:tcPr>
            <w:tcW w:type="dxa" w:w="19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任意</w:t>
            </w:r>
          </w:p>
        </w:tc>
        <w:tc>
          <w:tcPr>
            <w:tcW w:type="dxa" w:w="246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否</w:t>
            </w:r>
          </w:p>
        </w:tc>
        <w:tc>
          <w:tcPr>
            <w:tcW w:type="dxa" w:w="35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无权限页</w:t>
            </w:r>
          </w:p>
        </w:tc>
      </w:tr>
    </w:tbl>
    <w:p>
      <w:pPr>
        <w:spacing w:after="120"/>
      </w:pPr>
    </w:p>
    <w:p>
      <w:pPr>
        <w:spacing w:after="100" w:before="40" w:line="340"/>
      </w:pPr>
      <w:r>
        <w:rPr>
          <w:rFonts w:ascii="Arial" w:eastAsia="Microsoft YaHei" w:hAnsi="Arial"/>
          <w:sz w:val="21"/>
          <w:szCs w:val="21"/>
        </w:rPr>
        <w:t xml:space="preserve">被关闭的页面显示「无权限」而非「页面不存在」，用户直接输入地址也有可理解反馈。</w:t>
      </w: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3.3 两级开关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模块开关</w:t>
      </w:r>
      <w:r>
        <w:rPr>
          <w:rFonts w:ascii="Arial" w:eastAsia="Microsoft YaHei" w:hAnsi="Arial"/>
          <w:sz w:val="21"/>
          <w:szCs w:val="21"/>
        </w:rPr>
        <w:t xml:space="preserve">（粗粒度）：控制整个模块的入口与页面，同时作用于导航与访问。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路径清单</w:t>
      </w:r>
      <w:r>
        <w:rPr>
          <w:rFonts w:ascii="Arial" w:eastAsia="Microsoft YaHei" w:hAnsi="Arial"/>
          <w:sz w:val="21"/>
          <w:szCs w:val="21"/>
        </w:rPr>
        <w:t xml:space="preserve">（细粒度）：控制具体页面是否可达，未在清单内的页面一律不可达。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两者正交并存，同时生效；未下发路径清单时默认全量开放，一旦下发即严格按清单开放。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开关变更后无需刷新页面，导航与访问控制立即生效。</w:t>
      </w: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3.4 菜单生成</w:t>
      </w:r>
    </w:p>
    <w:p>
      <w:pPr>
        <w:spacing w:after="100" w:before="40" w:line="340"/>
      </w:pPr>
      <w:r>
        <w:rPr>
          <w:rFonts w:ascii="Arial" w:eastAsia="Microsoft YaHei" w:hAnsi="Arial"/>
          <w:sz w:val="21"/>
          <w:szCs w:val="21"/>
        </w:rPr>
        <w:t xml:space="preserve">服务端下发菜单结构与模块标识，前端完成三道过滤：路径合法性校验、模块开关过滤、租户路径清单裁剪。菜单文案与图标由前端按当前语言解析，点击后带上筛选参数跳转。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1F1F1F"/>
          <w:sz w:val="28"/>
          <w:szCs w:val="28"/>
        </w:rPr>
        <w:t xml:space="preserve">4. 多租户与品牌</w:t>
      </w: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4.1 租户识别</w:t>
      </w:r>
    </w:p>
    <w:p>
      <w:pPr>
        <w:spacing w:after="100" w:before="40" w:line="340"/>
      </w:pPr>
      <w:r>
        <w:rPr>
          <w:rFonts w:ascii="Arial" w:eastAsia="Microsoft YaHei" w:hAnsi="Arial"/>
          <w:sz w:val="21"/>
          <w:szCs w:val="21"/>
        </w:rPr>
        <w:t xml:space="preserve">按以下顺序判定，命中即停止：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"/>
        <w:gridCol w:w="1707"/>
        <w:gridCol w:w="6344"/>
      </w:tblGrid>
      <w:tr>
        <w:trPr>
          <w:cantSplit/>
          <w:tblHeader/>
        </w:trPr>
        <w:tc>
          <w:tcPr>
            <w:tcW w:type="dxa" w:w="9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顺序</w:t>
            </w:r>
          </w:p>
        </w:tc>
        <w:tc>
          <w:tcPr>
            <w:tcW w:type="dxa" w:w="17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来源</w:t>
            </w:r>
          </w:p>
        </w:tc>
        <w:tc>
          <w:tcPr>
            <w:tcW w:type="dxa" w:w="63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  <w:tblHeader w:val="off"/>
        </w:trPr>
        <w:tc>
          <w:tcPr>
            <w:tcW w:type="dxa" w:w="9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私有化构建参数</w:t>
            </w:r>
          </w:p>
        </w:tc>
        <w:tc>
          <w:tcPr>
            <w:tcW w:type="dxa" w:w="63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专属部署时锁定单一学校</w:t>
            </w:r>
          </w:p>
        </w:tc>
      </w:tr>
      <w:tr>
        <w:trPr>
          <w:cantSplit/>
          <w:tblHeader w:val="off"/>
        </w:trPr>
        <w:tc>
          <w:tcPr>
            <w:tcW w:type="dxa" w:w="9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7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子域名</w:t>
            </w:r>
          </w:p>
        </w:tc>
        <w:tc>
          <w:tcPr>
            <w:tcW w:type="dxa" w:w="63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学校子域名站点；主域、通用前缀、多级前缀与 IP 不参与判定</w:t>
            </w:r>
          </w:p>
        </w:tc>
      </w:tr>
      <w:tr>
        <w:trPr>
          <w:cantSplit/>
          <w:tblHeader w:val="off"/>
        </w:trPr>
        <w:tc>
          <w:tcPr>
            <w:tcW w:type="dxa" w:w="9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7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默认站点</w:t>
            </w:r>
          </w:p>
        </w:tc>
        <w:tc>
          <w:tcPr>
            <w:tcW w:type="dxa" w:w="63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主站兜底</w:t>
            </w:r>
          </w:p>
        </w:tc>
      </w:tr>
    </w:tbl>
    <w:p>
      <w:pPr>
        <w:spacing w:after="120"/>
      </w:pP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4.2 租户配置内容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4"/>
        <w:gridCol w:w="5743"/>
        <w:gridCol w:w="2189"/>
      </w:tblGrid>
      <w:tr>
        <w:trPr>
          <w:cantSplit/>
          <w:tblHeader/>
        </w:trPr>
        <w:tc>
          <w:tcPr>
            <w:tcW w:type="dxa" w:w="109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配置项</w:t>
            </w:r>
          </w:p>
        </w:tc>
        <w:tc>
          <w:tcPr>
            <w:tcW w:type="dxa" w:w="574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21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缺省行为</w:t>
            </w:r>
          </w:p>
        </w:tc>
      </w:tr>
      <w:tr>
        <w:trPr>
          <w:cantSplit/>
          <w:tblHeader w:val="off"/>
        </w:trPr>
        <w:tc>
          <w:tcPr>
            <w:tcW w:type="dxa" w:w="109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品牌</w:t>
            </w:r>
          </w:p>
        </w:tc>
        <w:tc>
          <w:tcPr>
            <w:tcW w:type="dxa" w:w="574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名称、Logo、站点图标、版权信息</w:t>
            </w:r>
          </w:p>
        </w:tc>
        <w:tc>
          <w:tcPr>
            <w:tcW w:type="dxa" w:w="21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使用内置默认品牌</w:t>
            </w:r>
          </w:p>
        </w:tc>
      </w:tr>
      <w:tr>
        <w:trPr>
          <w:cantSplit/>
          <w:tblHeader w:val="off"/>
        </w:trPr>
        <w:tc>
          <w:tcPr>
            <w:tcW w:type="dxa" w:w="109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主题</w:t>
            </w:r>
          </w:p>
        </w:tc>
        <w:tc>
          <w:tcPr>
            <w:tcW w:type="dxa" w:w="574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品牌主色、派生色阶、圆角、字体、语义色覆写</w:t>
            </w:r>
          </w:p>
        </w:tc>
        <w:tc>
          <w:tcPr>
            <w:tcW w:type="dxa" w:w="21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使用默认蓝色板</w:t>
            </w:r>
          </w:p>
        </w:tc>
      </w:tr>
      <w:tr>
        <w:trPr>
          <w:cantSplit/>
          <w:tblHeader w:val="off"/>
        </w:trPr>
        <w:tc>
          <w:tcPr>
            <w:tcW w:type="dxa" w:w="109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路径清单</w:t>
            </w:r>
          </w:p>
        </w:tc>
        <w:tc>
          <w:tcPr>
            <w:tcW w:type="dxa" w:w="574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本校开放的页面集合</w:t>
            </w:r>
          </w:p>
        </w:tc>
        <w:tc>
          <w:tcPr>
            <w:tcW w:type="dxa" w:w="21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未下发即全量开放</w:t>
            </w:r>
          </w:p>
        </w:tc>
      </w:tr>
      <w:tr>
        <w:trPr>
          <w:cantSplit/>
          <w:tblHeader w:val="off"/>
        </w:trPr>
        <w:tc>
          <w:tcPr>
            <w:tcW w:type="dxa" w:w="109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模块开关</w:t>
            </w:r>
          </w:p>
        </w:tc>
        <w:tc>
          <w:tcPr>
            <w:tcW w:type="dxa" w:w="574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五个业务模块的开关</w:t>
            </w:r>
          </w:p>
        </w:tc>
        <w:tc>
          <w:tcPr>
            <w:tcW w:type="dxa" w:w="21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按默认值</w:t>
            </w:r>
          </w:p>
        </w:tc>
      </w:tr>
      <w:tr>
        <w:trPr>
          <w:cantSplit/>
          <w:tblHeader w:val="off"/>
        </w:trPr>
        <w:tc>
          <w:tcPr>
            <w:tcW w:type="dxa" w:w="109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素材</w:t>
            </w:r>
          </w:p>
        </w:tc>
        <w:tc>
          <w:tcPr>
            <w:tcW w:type="dxa" w:w="574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登录背景、首页横幅</w:t>
            </w:r>
          </w:p>
        </w:tc>
        <w:tc>
          <w:tcPr>
            <w:tcW w:type="dxa" w:w="21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使用内置默认图</w:t>
            </w:r>
          </w:p>
        </w:tc>
      </w:tr>
    </w:tbl>
    <w:p>
      <w:pPr>
        <w:spacing w:after="120"/>
      </w:pPr>
    </w:p>
    <w:p>
      <w:pPr>
        <w:spacing w:after="100" w:before="40" w:line="340"/>
      </w:pPr>
      <w:r>
        <w:rPr>
          <w:rFonts w:ascii="Arial" w:eastAsia="Microsoft YaHei" w:hAnsi="Arial"/>
          <w:sz w:val="21"/>
          <w:szCs w:val="21"/>
        </w:rPr>
        <w:t xml:space="preserve">租户标识始终以前端解析结果为准，不采信服务端回显，避免跨站点串号。</w:t>
      </w: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4.3 主题与明暗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主题分三层：预置色板或自定义主色派生七档品牌色；语义色覆写仅作用于浅色模式；组件内部局部变量兜底。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明暗模式支持浅色、深色、跟随系统；用户选择优先于租户默认，选择结果按学校分别记忆。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品牌色、站点标题、站点图标随租户配置热更新，无需刷新页面。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首帧由预置脚本先行着色，避免加载过程中出现默认品牌闪现。</w:t>
      </w: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4.4 加载与降级</w:t>
      </w:r>
    </w:p>
    <w:p>
      <w:pPr>
        <w:spacing w:after="100" w:before="40" w:line="340"/>
      </w:pPr>
      <w:r>
        <w:rPr>
          <w:rFonts w:ascii="Arial" w:eastAsia="Microsoft YaHei" w:hAnsi="Arial"/>
          <w:sz w:val="21"/>
          <w:szCs w:val="21"/>
        </w:rPr>
        <w:t xml:space="preserve">优先使用本地缓存的租户配置并立即生效，同时在后台刷新；无缓存时最多等待 1.5 秒，超时或失败回退默认配置，不阻塞页面。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1F1F1F"/>
          <w:sz w:val="28"/>
          <w:szCs w:val="28"/>
        </w:rPr>
        <w:t xml:space="preserve">5. 接口与实时能力</w:t>
      </w: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5.1 身份与安全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采用服务端会话，登录凭证不出现在前端存储中。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写操作需携带跨站请求令牌，由浏览器与服务端配合校验。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每次请求携带当前租户标识，后端据此隔离数据。</w:t>
      </w: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5.2 错误提示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cantSplit/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场景</w:t>
            </w:r>
          </w:p>
        </w:tc>
        <w:tc>
          <w:tcPr>
            <w:tcW w:type="dxa" w:w="67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用户看到</w:t>
            </w:r>
          </w:p>
        </w:tc>
      </w:tr>
      <w:tr>
        <w:trPr>
          <w:cantSplit/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登录凭证错误</w:t>
            </w:r>
          </w:p>
        </w:tc>
        <w:tc>
          <w:tcPr>
            <w:tcW w:type="dxa" w:w="67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账号或密码错误</w:t>
            </w:r>
          </w:p>
        </w:tc>
      </w:tr>
      <w:tr>
        <w:trPr>
          <w:cantSplit/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会话过期</w:t>
            </w:r>
          </w:p>
        </w:tc>
        <w:tc>
          <w:tcPr>
            <w:tcW w:type="dxa" w:w="67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登录已过期，请重新登录，并回到登录页</w:t>
            </w:r>
          </w:p>
        </w:tc>
      </w:tr>
      <w:tr>
        <w:trPr>
          <w:cantSplit/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服务端异常</w:t>
            </w:r>
          </w:p>
        </w:tc>
        <w:tc>
          <w:tcPr>
            <w:tcW w:type="dxa" w:w="67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服务器暂时不可用，请稍后再试</w:t>
            </w:r>
          </w:p>
        </w:tc>
      </w:tr>
      <w:tr>
        <w:trPr>
          <w:cantSplit/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其他请求失败</w:t>
            </w:r>
          </w:p>
        </w:tc>
        <w:tc>
          <w:tcPr>
            <w:tcW w:type="dxa" w:w="67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优先展示服务端提示，否则提示请求失败</w:t>
            </w:r>
          </w:p>
        </w:tc>
      </w:tr>
      <w:tr>
        <w:trPr>
          <w:cantSplit/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超时或断网</w:t>
            </w:r>
          </w:p>
        </w:tc>
        <w:tc>
          <w:tcPr>
            <w:tcW w:type="dxa" w:w="67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请求超时或网络错误</w:t>
            </w:r>
          </w:p>
        </w:tc>
      </w:tr>
    </w:tbl>
    <w:p>
      <w:pPr>
        <w:spacing w:after="120"/>
      </w:pP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5.3 实时能力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3"/>
        <w:gridCol w:w="7823"/>
      </w:tblGrid>
      <w:tr>
        <w:trPr>
          <w:cantSplit/>
          <w:tblHeader/>
        </w:trPr>
        <w:tc>
          <w:tcPr>
            <w:tcW w:type="dxa" w:w="12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能力</w:t>
            </w:r>
          </w:p>
        </w:tc>
        <w:tc>
          <w:tcPr>
            <w:tcW w:type="dxa" w:w="78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  <w:tblHeader w:val="off"/>
        </w:trPr>
        <w:tc>
          <w:tcPr>
            <w:tcW w:type="dxa" w:w="12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通知推送</w:t>
            </w:r>
          </w:p>
        </w:tc>
        <w:tc>
          <w:tcPr>
            <w:tcW w:type="dxa" w:w="78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收到通知后未读计数加一，并全局提示</w:t>
            </w:r>
          </w:p>
        </w:tc>
      </w:tr>
      <w:tr>
        <w:trPr>
          <w:cantSplit/>
          <w:tblHeader w:val="off"/>
        </w:trPr>
        <w:tc>
          <w:tcPr>
            <w:tcW w:type="dxa" w:w="12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强制下线</w:t>
            </w:r>
          </w:p>
        </w:tc>
        <w:tc>
          <w:tcPr>
            <w:tcW w:type="dxa" w:w="78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服务端踢出后清理会话并回到登录页</w:t>
            </w:r>
          </w:p>
        </w:tc>
      </w:tr>
      <w:tr>
        <w:trPr>
          <w:cantSplit/>
          <w:tblHeader w:val="off"/>
        </w:trPr>
        <w:tc>
          <w:tcPr>
            <w:tcW w:type="dxa" w:w="12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自动重连</w:t>
            </w:r>
          </w:p>
        </w:tc>
        <w:tc>
          <w:tcPr>
            <w:tcW w:type="dxa" w:w="78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按 0、2、5、10 秒退避重连，成功后自动重新订阅本校消息</w:t>
            </w:r>
          </w:p>
        </w:tc>
      </w:tr>
      <w:tr>
        <w:trPr>
          <w:cantSplit/>
          <w:tblHeader w:val="off"/>
        </w:trPr>
        <w:tc>
          <w:tcPr>
            <w:tcW w:type="dxa" w:w="12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心跳</w:t>
            </w:r>
          </w:p>
        </w:tc>
        <w:tc>
          <w:tcPr>
            <w:tcW w:type="dxa" w:w="78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服务端 30 秒超时、15 秒保活，保证连接可用性</w:t>
            </w:r>
          </w:p>
        </w:tc>
      </w:tr>
    </w:tbl>
    <w:p>
      <w:pPr>
        <w:spacing w:after="120"/>
      </w:pP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1F1F1F"/>
          <w:sz w:val="28"/>
          <w:szCs w:val="28"/>
        </w:rPr>
        <w:t xml:space="preserve">6. 多语言与无障碍</w:t>
      </w: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6.1 多语言</w:t>
      </w:r>
    </w:p>
    <w:p>
      <w:pPr>
        <w:spacing w:after="100" w:before="40" w:line="340"/>
      </w:pPr>
      <w:r>
        <w:rPr>
          <w:rFonts w:ascii="Arial" w:eastAsia="Microsoft YaHei" w:hAnsi="Arial"/>
          <w:sz w:val="21"/>
          <w:szCs w:val="21"/>
        </w:rPr>
        <w:t xml:space="preserve">提供简体中文（默认）、繁体中文、英文三套语言包。缺词条时先回退简体中文，再回退词条名；切换语言即时生效并记住选择，同时同步页面标题与页面语言标记。</w:t>
      </w: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6.2 无障碍基线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可点击区域不小于 44×44 像素，视觉尺寸可更小，用透明区域扩展。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所有交互支持键盘操作与焦点可见，危险操作不只靠悬停呈现。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主题、语言等无焦点变化的状态切换提供读屏播报。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尊重系统「减少动态效果」偏好，自动降级动画与平滑滚动。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1F1F1F"/>
          <w:sz w:val="28"/>
          <w:szCs w:val="28"/>
        </w:rPr>
        <w:t xml:space="preserve">7. 功能模块</w:t>
      </w: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7.1 模块总览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2"/>
        <w:gridCol w:w="2304"/>
        <w:gridCol w:w="4801"/>
        <w:gridCol w:w="769"/>
      </w:tblGrid>
      <w:tr>
        <w:trPr>
          <w:cantSplit/>
          <w:tblHeader/>
        </w:trPr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7"/>
                <w:szCs w:val="17"/>
              </w:rPr>
              <w:t xml:space="preserve">模块</w:t>
            </w:r>
          </w:p>
        </w:tc>
        <w:tc>
          <w:tcPr>
            <w:tcW w:type="dxa" w:w="23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7"/>
                <w:szCs w:val="17"/>
              </w:rPr>
              <w:t xml:space="preserve">入口</w:t>
            </w:r>
          </w:p>
        </w:tc>
        <w:tc>
          <w:tcPr>
            <w:tcW w:type="dxa" w:w="48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7"/>
                <w:szCs w:val="17"/>
              </w:rPr>
              <w:t xml:space="preserve">核心功能</w:t>
            </w:r>
          </w:p>
        </w:tc>
        <w:tc>
          <w:tcPr>
            <w:tcW w:type="dxa" w:w="7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7"/>
                <w:szCs w:val="17"/>
              </w:rPr>
              <w:t xml:space="preserve">需登录</w:t>
            </w:r>
          </w:p>
        </w:tc>
      </w:tr>
      <w:tr>
        <w:trPr>
          <w:cantSplit/>
          <w:tblHeader w:val="off"/>
        </w:trPr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首页</w:t>
            </w:r>
          </w:p>
        </w:tc>
        <w:tc>
          <w:tcPr>
            <w:tcW w:type="dxa" w:w="23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站点根路径</w:t>
            </w:r>
          </w:p>
        </w:tc>
        <w:tc>
          <w:tcPr>
            <w:tcW w:type="dxa" w:w="48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品牌横幅、轮播、新闻公告、数据展示、关于与联系方式</w:t>
            </w:r>
          </w:p>
        </w:tc>
        <w:tc>
          <w:tcPr>
            <w:tcW w:type="dxa" w:w="7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否</w:t>
            </w:r>
          </w:p>
        </w:tc>
      </w:tr>
      <w:tr>
        <w:trPr>
          <w:cantSplit/>
          <w:tblHeader w:val="off"/>
        </w:trPr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心晴阅读</w:t>
            </w:r>
          </w:p>
        </w:tc>
        <w:tc>
          <w:tcPr>
            <w:tcW w:type="dxa" w:w="23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心晴阅读</w:t>
            </w:r>
          </w:p>
        </w:tc>
        <w:tc>
          <w:tcPr>
            <w:tcW w:type="dxa" w:w="48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文章中心、分类与合集、列表搜索、文章详情、相关推荐</w:t>
            </w:r>
          </w:p>
        </w:tc>
        <w:tc>
          <w:tcPr>
            <w:tcW w:type="dxa" w:w="7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否</w:t>
            </w:r>
          </w:p>
        </w:tc>
      </w:tr>
      <w:tr>
        <w:trPr>
          <w:cantSplit/>
          <w:tblHeader w:val="off"/>
        </w:trPr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心事广场</w:t>
            </w:r>
          </w:p>
        </w:tc>
        <w:tc>
          <w:tcPr>
            <w:tcW w:type="dxa" w:w="23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心事广场</w:t>
            </w:r>
          </w:p>
        </w:tc>
        <w:tc>
          <w:tcPr>
            <w:tcW w:type="dxa" w:w="48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动态列表与筛选、发布动态、详情与评论、点赞</w:t>
            </w:r>
          </w:p>
        </w:tc>
        <w:tc>
          <w:tcPr>
            <w:tcW w:type="dxa" w:w="7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否</w:t>
            </w:r>
          </w:p>
        </w:tc>
      </w:tr>
      <w:tr>
        <w:trPr>
          <w:cantSplit/>
          <w:tblHeader w:val="off"/>
        </w:trPr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心理测评</w:t>
            </w:r>
          </w:p>
        </w:tc>
        <w:tc>
          <w:tcPr>
            <w:tcW w:type="dxa" w:w="23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心理测评</w:t>
            </w:r>
          </w:p>
        </w:tc>
        <w:tc>
          <w:tcPr>
            <w:tcW w:type="dxa" w:w="48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量表中心、在线作答、结果解读、历史记录、成长面板</w:t>
            </w:r>
          </w:p>
        </w:tc>
        <w:tc>
          <w:tcPr>
            <w:tcW w:type="dxa" w:w="7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否</w:t>
            </w:r>
          </w:p>
        </w:tc>
      </w:tr>
      <w:tr>
        <w:trPr>
          <w:cantSplit/>
          <w:tblHeader w:val="off"/>
        </w:trPr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咨询中心</w:t>
            </w:r>
          </w:p>
        </w:tc>
        <w:tc>
          <w:tcPr>
            <w:tcW w:type="dxa" w:w="23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咨询中心</w:t>
            </w:r>
          </w:p>
        </w:tc>
        <w:tc>
          <w:tcPr>
            <w:tcW w:type="dxa" w:w="48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咨询师列表与详情、预约与取消、我的预约、常见问题</w:t>
            </w:r>
          </w:p>
        </w:tc>
        <w:tc>
          <w:tcPr>
            <w:tcW w:type="dxa" w:w="7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否</w:t>
            </w:r>
          </w:p>
        </w:tc>
      </w:tr>
      <w:tr>
        <w:trPr>
          <w:cantSplit/>
          <w:tblHeader w:val="off"/>
        </w:trPr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时光胶囊</w:t>
            </w:r>
          </w:p>
        </w:tc>
        <w:tc>
          <w:tcPr>
            <w:tcW w:type="dxa" w:w="23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时光胶囊</w:t>
            </w:r>
          </w:p>
        </w:tc>
        <w:tc>
          <w:tcPr>
            <w:tcW w:type="dxa" w:w="48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胶囊列表与筛选、新建与编辑、详情、删除、到期倒计时</w:t>
            </w:r>
          </w:p>
        </w:tc>
        <w:tc>
          <w:tcPr>
            <w:tcW w:type="dxa" w:w="7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否</w:t>
            </w:r>
          </w:p>
        </w:tc>
      </w:tr>
      <w:tr>
        <w:trPr>
          <w:cantSplit/>
          <w:tblHeader w:val="off"/>
        </w:trPr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AI 对话</w:t>
            </w:r>
          </w:p>
        </w:tc>
        <w:tc>
          <w:tcPr>
            <w:tcW w:type="dxa" w:w="23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悬浮入口、咨询中心内</w:t>
            </w:r>
          </w:p>
        </w:tc>
        <w:tc>
          <w:tcPr>
            <w:tcW w:type="dxa" w:w="48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AI 咨询、AI 陪伴、流式对话</w:t>
            </w:r>
          </w:p>
        </w:tc>
        <w:tc>
          <w:tcPr>
            <w:tcW w:type="dxa" w:w="7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否</w:t>
            </w:r>
          </w:p>
        </w:tc>
      </w:tr>
      <w:tr>
        <w:trPr>
          <w:cantSplit/>
          <w:tblHeader w:val="off"/>
        </w:trPr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个人中心</w:t>
            </w:r>
          </w:p>
        </w:tc>
        <w:tc>
          <w:tcPr>
            <w:tcW w:type="dxa" w:w="23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个人中心</w:t>
            </w:r>
          </w:p>
        </w:tc>
        <w:tc>
          <w:tcPr>
            <w:tcW w:type="dxa" w:w="48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资料展示、成长统计、偏好设置、联系方式换绑</w:t>
            </w:r>
          </w:p>
        </w:tc>
        <w:tc>
          <w:tcPr>
            <w:tcW w:type="dxa" w:w="7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是</w:t>
            </w:r>
          </w:p>
        </w:tc>
      </w:tr>
      <w:tr>
        <w:trPr>
          <w:cantSplit/>
          <w:tblHeader w:val="off"/>
        </w:trPr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设置</w:t>
            </w:r>
          </w:p>
        </w:tc>
        <w:tc>
          <w:tcPr>
            <w:tcW w:type="dxa" w:w="23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设置</w:t>
            </w:r>
          </w:p>
        </w:tc>
        <w:tc>
          <w:tcPr>
            <w:tcW w:type="dxa" w:w="48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主题与语言偏好、隐私与通知开关、账号退出</w:t>
            </w:r>
          </w:p>
        </w:tc>
        <w:tc>
          <w:tcPr>
            <w:tcW w:type="dxa" w:w="7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是</w:t>
            </w:r>
          </w:p>
        </w:tc>
      </w:tr>
      <w:tr>
        <w:trPr>
          <w:cantSplit/>
          <w:tblHeader w:val="off"/>
        </w:trPr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登录与错误页</w:t>
            </w:r>
          </w:p>
        </w:tc>
        <w:tc>
          <w:tcPr>
            <w:tcW w:type="dxa" w:w="23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登录、无权限、页面不存在</w:t>
            </w:r>
          </w:p>
        </w:tc>
        <w:tc>
          <w:tcPr>
            <w:tcW w:type="dxa" w:w="48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账号登录、学校选择、记住我、异常引导</w:t>
            </w:r>
          </w:p>
        </w:tc>
        <w:tc>
          <w:tcPr>
            <w:tcW w:type="dxa" w:w="76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否</w:t>
            </w:r>
          </w:p>
        </w:tc>
      </w:tr>
    </w:tbl>
    <w:p>
      <w:pPr>
        <w:spacing w:after="120"/>
      </w:pP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7.2 关键业务规则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1"/>
        <w:gridCol w:w="4117"/>
        <w:gridCol w:w="4118"/>
      </w:tblGrid>
      <w:tr>
        <w:trPr>
          <w:cantSplit/>
          <w:tblHeader/>
        </w:trPr>
        <w:tc>
          <w:tcPr>
            <w:tcW w:type="dxa" w:w="7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模块</w:t>
            </w:r>
          </w:p>
        </w:tc>
        <w:tc>
          <w:tcPr>
            <w:tcW w:type="dxa" w:w="411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规则</w:t>
            </w:r>
          </w:p>
        </w:tc>
        <w:tc>
          <w:tcPr>
            <w:tcW w:type="dxa" w:w="41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边界</w:t>
            </w:r>
          </w:p>
        </w:tc>
      </w:tr>
      <w:tr>
        <w:trPr>
          <w:cantSplit/>
          <w:tblHeader w:val="off"/>
        </w:trPr>
        <w:tc>
          <w:tcPr>
            <w:tcW w:type="dxa" w:w="7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首页</w:t>
            </w:r>
          </w:p>
        </w:tc>
        <w:tc>
          <w:tcPr>
            <w:tcW w:type="dxa" w:w="411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轮播 5 秒自动切换，支持拖拽、键盘与手动切换；数字滚动在进入视口时触发一次</w:t>
            </w:r>
          </w:p>
        </w:tc>
        <w:tc>
          <w:tcPr>
            <w:tcW w:type="dxa" w:w="41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联系表单仅前端提示，不落库</w:t>
            </w:r>
          </w:p>
        </w:tc>
      </w:tr>
      <w:tr>
        <w:trPr>
          <w:cantSplit/>
          <w:tblHeader w:val="off"/>
        </w:trPr>
        <w:tc>
          <w:tcPr>
            <w:tcW w:type="dxa" w:w="7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心晴阅读</w:t>
            </w:r>
          </w:p>
        </w:tc>
        <w:tc>
          <w:tcPr>
            <w:tcW w:type="dxa" w:w="411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关键词 300 毫秒防抖；中心页首屏 6 条可展开全部；相关推荐最多 4 条；详情显示阅读进度</w:t>
            </w:r>
          </w:p>
        </w:tc>
        <w:tc>
          <w:tcPr>
            <w:tcW w:type="dxa" w:w="41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评论为演示数据；点赞与收藏为本地状态</w:t>
            </w:r>
          </w:p>
        </w:tc>
      </w:tr>
      <w:tr>
        <w:trPr>
          <w:cantSplit/>
          <w:tblHeader w:val="off"/>
        </w:trPr>
        <w:tc>
          <w:tcPr>
            <w:tcW w:type="dxa" w:w="7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心事广场</w:t>
            </w:r>
          </w:p>
        </w:tc>
        <w:tc>
          <w:tcPr>
            <w:tcW w:type="dxa" w:w="411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正文不超过 500 字、图片不超过 6 张、话题不超过 3 个，正文与图片至少一项；点赞即时反馈，失败回滚</w:t>
            </w:r>
          </w:p>
        </w:tc>
        <w:tc>
          <w:tcPr>
            <w:tcW w:type="dxa" w:w="41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分享与话题操作仅提示；每日一问与社区公约为静态内容</w:t>
            </w:r>
          </w:p>
        </w:tc>
      </w:tr>
      <w:tr>
        <w:trPr>
          <w:cantSplit/>
          <w:tblHeader w:val="off"/>
        </w:trPr>
        <w:tc>
          <w:tcPr>
            <w:tcW w:type="dxa" w:w="7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心理测评</w:t>
            </w:r>
          </w:p>
        </w:tc>
        <w:tc>
          <w:tcPr>
            <w:tcW w:type="dxa" w:w="411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全部题目作答后方可提交；选择后 300 毫秒自动进入下一题；记录作答时长；中途退出需二次确认；计分在服务端完成；积分按历史条数累计</w:t>
            </w:r>
          </w:p>
        </w:tc>
        <w:tc>
          <w:tcPr>
            <w:tcW w:type="dxa" w:w="41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报告下载与分享为提示；雷达组均值与 AI 洞察为静态内容</w:t>
            </w:r>
          </w:p>
        </w:tc>
      </w:tr>
      <w:tr>
        <w:trPr>
          <w:cantSplit/>
          <w:tblHeader w:val="off"/>
        </w:trPr>
        <w:tc>
          <w:tcPr>
            <w:tcW w:type="dxa" w:w="7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咨询中心</w:t>
            </w:r>
          </w:p>
        </w:tc>
        <w:tc>
          <w:tcPr>
            <w:tcW w:type="dxa" w:w="411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预约分四步并可回看摘要；可选日期为次日起 7 天；支持取消预约；咨询师卡片可一键带入预约表单</w:t>
            </w:r>
          </w:p>
        </w:tc>
        <w:tc>
          <w:tcPr>
            <w:tcW w:type="dxa" w:w="41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时段表为预置；公告、常见问题与流程为静态内容</w:t>
            </w:r>
          </w:p>
        </w:tc>
      </w:tr>
      <w:tr>
        <w:trPr>
          <w:cantSplit/>
          <w:tblHeader w:val="off"/>
        </w:trPr>
        <w:tc>
          <w:tcPr>
            <w:tcW w:type="dxa" w:w="7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时光胶囊</w:t>
            </w:r>
          </w:p>
        </w:tc>
        <w:tc>
          <w:tcPr>
            <w:tcW w:type="dxa" w:w="411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草稿自动保存并在下次进入时恢复；未到期显示倒计时；支持滑动删除与键盘操作；富文本编辑正文与图片</w:t>
            </w:r>
          </w:p>
        </w:tc>
        <w:tc>
          <w:tcPr>
            <w:tcW w:type="dxa" w:w="41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草稿不含图片；状态与开启方式文案由前端映射</w:t>
            </w:r>
          </w:p>
        </w:tc>
      </w:tr>
      <w:tr>
        <w:trPr>
          <w:cantSplit/>
          <w:tblHeader w:val="off"/>
        </w:trPr>
        <w:tc>
          <w:tcPr>
            <w:tcW w:type="dxa" w:w="7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AI 对话</w:t>
            </w:r>
          </w:p>
        </w:tc>
        <w:tc>
          <w:tcPr>
            <w:tcW w:type="dxa" w:w="411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流式逐字输出；发送期间禁止并发；中断保留已生成内容</w:t>
            </w:r>
          </w:p>
        </w:tc>
        <w:tc>
          <w:tcPr>
            <w:tcW w:type="dxa" w:w="41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会话不持久化，刷新即清空；未接入真实服务时使用本地预设话术</w:t>
            </w:r>
          </w:p>
        </w:tc>
      </w:tr>
      <w:tr>
        <w:trPr>
          <w:cantSplit/>
          <w:tblHeader w:val="off"/>
        </w:trPr>
        <w:tc>
          <w:tcPr>
            <w:tcW w:type="dxa" w:w="7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个人中心</w:t>
            </w:r>
          </w:p>
        </w:tc>
        <w:tc>
          <w:tcPr>
            <w:tcW w:type="dxa" w:w="411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主题与语言偏好即时生效并播报；联系方式换绑为三步流程，含 60 秒重发倒计时</w:t>
            </w:r>
          </w:p>
        </w:tc>
        <w:tc>
          <w:tcPr>
            <w:tcW w:type="dxa" w:w="41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保存、统计、设备列表与隐私开关为界面占位</w:t>
            </w:r>
          </w:p>
        </w:tc>
      </w:tr>
      <w:tr>
        <w:trPr>
          <w:cantSplit/>
          <w:tblHeader w:val="off"/>
        </w:trPr>
        <w:tc>
          <w:tcPr>
            <w:tcW w:type="dxa" w:w="7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登录</w:t>
            </w:r>
          </w:p>
        </w:tc>
        <w:tc>
          <w:tcPr>
            <w:tcW w:type="dxa" w:w="411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学校选择仅在主域出现；跨校登录跳转对应站点；登录后回到来源页并校验可达性；已登录访问直接跳转</w:t>
            </w:r>
          </w:p>
        </w:tc>
        <w:tc>
          <w:tcPr>
            <w:tcW w:type="dxa" w:w="41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暂无图形验证码；第三方登录为占位</w:t>
            </w:r>
          </w:p>
        </w:tc>
      </w:tr>
      <w:tr>
        <w:trPr>
          <w:cantSplit/>
          <w:tblHeader w:val="off"/>
        </w:trPr>
        <w:tc>
          <w:tcPr>
            <w:tcW w:type="dxa" w:w="7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错误页</w:t>
            </w:r>
          </w:p>
        </w:tc>
        <w:tc>
          <w:tcPr>
            <w:tcW w:type="dxa" w:w="411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无权限页说明原因；页面不存在页提供四屏引导与小游戏，支持滚轮、触摸与键盘翻页</w:t>
            </w:r>
          </w:p>
        </w:tc>
        <w:tc>
          <w:tcPr>
            <w:tcW w:type="dxa" w:w="41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幻灯片图片为外链；游戏文案为中文</w:t>
            </w:r>
          </w:p>
        </w:tc>
      </w:tr>
    </w:tbl>
    <w:p>
      <w:pPr>
        <w:spacing w:after="120"/>
      </w:pP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1F1F1F"/>
          <w:sz w:val="28"/>
          <w:szCs w:val="28"/>
        </w:rPr>
        <w:t xml:space="preserve">8. 演示与联调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演示模式</w:t>
      </w:r>
      <w:r>
        <w:rPr>
          <w:rFonts w:ascii="Arial" w:eastAsia="Microsoft YaHei" w:hAnsi="Arial"/>
          <w:sz w:val="21"/>
          <w:szCs w:val="21"/>
        </w:rPr>
        <w:t xml:space="preserve">：开发环境默认开启，生产环境默认关闭；开启后可脱离后端完整演示全部流程。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演示账号</w:t>
      </w:r>
      <w:r>
        <w:rPr>
          <w:rFonts w:ascii="Arial" w:eastAsia="Microsoft YaHei" w:hAnsi="Arial"/>
          <w:sz w:val="21"/>
          <w:szCs w:val="21"/>
        </w:rPr>
        <w:t xml:space="preserve">：任意账号名，密码统一为 111111。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租户差异</w:t>
      </w:r>
      <w:r>
        <w:rPr>
          <w:rFonts w:ascii="Arial" w:eastAsia="Microsoft YaHei" w:hAnsi="Arial"/>
          <w:sz w:val="21"/>
          <w:szCs w:val="21"/>
        </w:rPr>
        <w:t xml:space="preserve">：默认站点与示例学校全量开放；另一所示例学校关闭心事广场，用于验证模块裁剪。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故障演练</w:t>
      </w:r>
      <w:r>
        <w:rPr>
          <w:rFonts w:ascii="Arial" w:eastAsia="Microsoft YaHei" w:hAnsi="Arial"/>
          <w:sz w:val="21"/>
          <w:szCs w:val="21"/>
        </w:rPr>
        <w:t xml:space="preserve">：可模拟会话过期、跨站令牌缺失与接口异常，验证提示文案与降级行为。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数据重置</w:t>
      </w:r>
      <w:r>
        <w:rPr>
          <w:rFonts w:ascii="Arial" w:eastAsia="Microsoft YaHei" w:hAnsi="Arial"/>
          <w:sz w:val="21"/>
          <w:szCs w:val="21"/>
        </w:rPr>
        <w:t xml:space="preserve">：演示数据保存在浏览器本地，清理浏览器数据即恢复初始状态。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1F1F1F"/>
          <w:sz w:val="28"/>
          <w:szCs w:val="28"/>
        </w:rPr>
        <w:t xml:space="preserve">9. 部署与环境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环境划分</w:t>
      </w:r>
      <w:r>
        <w:rPr>
          <w:rFonts w:ascii="Arial" w:eastAsia="Microsoft YaHei" w:hAnsi="Arial"/>
          <w:sz w:val="21"/>
          <w:szCs w:val="21"/>
        </w:rPr>
        <w:t xml:space="preserve">：开发（本地代理后端）、预览（构建产物本地预览）、生产（静态托管加网关）。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网关要求</w:t>
      </w:r>
      <w:r>
        <w:rPr>
          <w:rFonts w:ascii="Arial" w:eastAsia="Microsoft YaHei" w:hAnsi="Arial"/>
          <w:sz w:val="21"/>
          <w:szCs w:val="21"/>
        </w:rPr>
        <w:t xml:space="preserve">：业务接口与实时通道需转发，实时通道包含长连接升级；其余请求走静态资源与单页回退。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子路径部署</w:t>
      </w:r>
      <w:r>
        <w:rPr>
          <w:rFonts w:ascii="Arial" w:eastAsia="Microsoft YaHei" w:hAnsi="Arial"/>
          <w:sz w:val="21"/>
          <w:szCs w:val="21"/>
        </w:rPr>
        <w:t xml:space="preserve">：站点基础路径、深链兜底页、路由基址三者必须一致，否则刷新深链会 404。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发布流程</w:t>
      </w:r>
      <w:r>
        <w:rPr>
          <w:rFonts w:ascii="Arial" w:eastAsia="Microsoft YaHei" w:hAnsi="Arial"/>
          <w:sz w:val="21"/>
          <w:szCs w:val="21"/>
        </w:rPr>
        <w:t xml:space="preserve">：推送主分支后自动构建并发布到 GitHub Pages；生产未启用演示数据，后端未接入时出现接口错误提示属预期。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后端配合</w:t>
      </w:r>
      <w:r>
        <w:rPr>
          <w:rFonts w:ascii="Arial" w:eastAsia="Microsoft YaHei" w:hAnsi="Arial"/>
          <w:sz w:val="21"/>
          <w:szCs w:val="21"/>
        </w:rPr>
        <w:t xml:space="preserve">：提供会话凭证、租户标识与跨站请求令牌响应头。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1F1F1F"/>
          <w:sz w:val="28"/>
          <w:szCs w:val="28"/>
        </w:rPr>
        <w:t xml:space="preserve">10. 功能边界与限制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7"/>
        <w:gridCol w:w="4601"/>
        <w:gridCol w:w="3718"/>
      </w:tblGrid>
      <w:tr>
        <w:trPr>
          <w:cantSplit/>
          <w:tblHeader/>
        </w:trPr>
        <w:tc>
          <w:tcPr>
            <w:tcW w:type="dxa" w:w="7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6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现状</w:t>
            </w:r>
          </w:p>
        </w:tc>
        <w:tc>
          <w:tcPr>
            <w:tcW w:type="dxa" w:w="37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对评审的影响</w:t>
            </w:r>
          </w:p>
        </w:tc>
      </w:tr>
      <w:tr>
        <w:trPr>
          <w:cantSplit/>
          <w:tblHeader w:val="off"/>
        </w:trPr>
        <w:tc>
          <w:tcPr>
            <w:tcW w:type="dxa" w:w="7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6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实时连接仅在登录动作后建立，刷新页面不会自动恢复</w:t>
            </w:r>
          </w:p>
        </w:tc>
        <w:tc>
          <w:tcPr>
            <w:tcW w:type="dxa" w:w="37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刷新后需重新登录才能继续收到推送</w:t>
            </w:r>
          </w:p>
        </w:tc>
      </w:tr>
      <w:tr>
        <w:trPr>
          <w:cantSplit/>
          <w:tblHeader w:val="off"/>
        </w:trPr>
        <w:tc>
          <w:tcPr>
            <w:tcW w:type="dxa" w:w="7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6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个人中心与设置页的保存、导出、分享为界面占位</w:t>
            </w:r>
          </w:p>
        </w:tc>
        <w:tc>
          <w:tcPr>
            <w:tcW w:type="dxa" w:w="37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不作为本期验收项</w:t>
            </w:r>
          </w:p>
        </w:tc>
      </w:tr>
      <w:tr>
        <w:trPr>
          <w:cantSplit/>
          <w:tblHeader w:val="off"/>
        </w:trPr>
        <w:tc>
          <w:tcPr>
            <w:tcW w:type="dxa" w:w="7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6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页脚、错误页游戏、设置页部分文案为中文硬编码</w:t>
            </w:r>
          </w:p>
        </w:tc>
        <w:tc>
          <w:tcPr>
            <w:tcW w:type="dxa" w:w="37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多语言覆盖不完整</w:t>
            </w:r>
          </w:p>
        </w:tc>
      </w:tr>
      <w:tr>
        <w:trPr>
          <w:cantSplit/>
          <w:tblHeader w:val="off"/>
        </w:trPr>
        <w:tc>
          <w:tcPr>
            <w:tcW w:type="dxa" w:w="7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6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全局命令面板入口固定，不随租户裁剪</w:t>
            </w:r>
          </w:p>
        </w:tc>
        <w:tc>
          <w:tcPr>
            <w:tcW w:type="dxa" w:w="37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关闭模块的学校仍可见入口，点击进入无权限页</w:t>
            </w:r>
          </w:p>
        </w:tc>
      </w:tr>
      <w:tr>
        <w:trPr>
          <w:cantSplit/>
          <w:tblHeader w:val="off"/>
        </w:trPr>
        <w:tc>
          <w:tcPr>
            <w:tcW w:type="dxa" w:w="7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6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无权限页不展示导航与页脚</w:t>
            </w:r>
          </w:p>
        </w:tc>
        <w:tc>
          <w:tcPr>
            <w:tcW w:type="dxa" w:w="37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用户需借助浏览器返回</w:t>
            </w:r>
          </w:p>
        </w:tc>
      </w:tr>
      <w:tr>
        <w:trPr>
          <w:cantSplit/>
          <w:tblHeader w:val="off"/>
        </w:trPr>
        <w:tc>
          <w:tcPr>
            <w:tcW w:type="dxa" w:w="7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6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首页联系表单、文章评论、测评报告下载与分享为演示数据或提示</w:t>
            </w:r>
          </w:p>
        </w:tc>
        <w:tc>
          <w:tcPr>
            <w:tcW w:type="dxa" w:w="37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仅用于流程演示</w:t>
            </w:r>
          </w:p>
        </w:tc>
      </w:tr>
      <w:tr>
        <w:trPr>
          <w:cantSplit/>
          <w:tblHeader w:val="off"/>
        </w:trPr>
        <w:tc>
          <w:tcPr>
            <w:tcW w:type="dxa" w:w="7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6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AI 对话未接入真实服务时使用本地预设话术</w:t>
            </w:r>
          </w:p>
        </w:tc>
        <w:tc>
          <w:tcPr>
            <w:tcW w:type="dxa" w:w="37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内容不构成咨询建议</w:t>
            </w:r>
          </w:p>
        </w:tc>
      </w:tr>
      <w:tr>
        <w:trPr>
          <w:cantSplit/>
          <w:tblHeader w:val="off"/>
        </w:trPr>
        <w:tc>
          <w:tcPr>
            <w:tcW w:type="dxa" w:w="7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6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登录暂无图形验证码，第三方登录为占位</w:t>
            </w:r>
          </w:p>
        </w:tc>
        <w:tc>
          <w:tcPr>
            <w:tcW w:type="dxa" w:w="37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安全性依赖服务端会话</w:t>
            </w:r>
          </w:p>
        </w:tc>
      </w:tr>
      <w:tr>
        <w:trPr>
          <w:cantSplit/>
          <w:tblHeader w:val="off"/>
        </w:trPr>
        <w:tc>
          <w:tcPr>
            <w:tcW w:type="dxa" w:w="7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46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测评计分在服务端完成，前端不做本地计算</w:t>
            </w:r>
          </w:p>
        </w:tc>
        <w:tc>
          <w:tcPr>
            <w:tcW w:type="dxa" w:w="37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后端未就绪时无法出结果</w:t>
            </w:r>
          </w:p>
        </w:tc>
      </w:tr>
      <w:tr>
        <w:trPr>
          <w:cantSplit/>
          <w:tblHeader w:val="off"/>
        </w:trPr>
        <w:tc>
          <w:tcPr>
            <w:tcW w:type="dxa" w:w="7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46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新增学校站点需预先配置品牌色</w:t>
            </w:r>
          </w:p>
        </w:tc>
        <w:tc>
          <w:tcPr>
            <w:tcW w:type="dxa" w:w="37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未配置时首帧短暂显示默认品牌色</w:t>
            </w:r>
          </w:p>
        </w:tc>
      </w:tr>
    </w:tbl>
    <w:p>
      <w:pPr>
        <w:spacing w:after="120"/>
      </w:pP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1F1F1F"/>
          <w:sz w:val="28"/>
          <w:szCs w:val="28"/>
        </w:rPr>
        <w:t xml:space="preserve">11. 验收要点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未登录可浏览公开页面；进入受限页面跳转登录，登录后回到原页面。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关闭模块后导航入口消失，直接输入地址进入无权限页。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不同学校站点的品牌色、Logo、标题与模块清单互不影响。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明暗模式与三语切换即时生效，并在刷新后保持。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列表具备加载、空数据、错误三种状态，错误提示为可读中文。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点赞等即时操作先反馈，失败自动回滚。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测评需全部作答才能提交，结果与历史记录一致。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预约可提交、可取消，我的预约同步更新。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登录后未读通知计数随推送变化；被强制下线后回到登录页。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PC 与移动端布局自适应，无横向滚动与内容截断。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08080"/>
        <w:sz w:val="16"/>
        <w:szCs w:val="16"/>
      </w:rPr>
      <w:t xml:space="preserve">第 </w:t>
    </w:r>
    <w:r>
      <w:rPr>
        <w:rFonts w:ascii="Arial" w:eastAsia="Microsoft YaHei" w:hAnsi="Arial"/>
        <w:color w:val="808080"/>
        <w:sz w:val="16"/>
        <w:szCs w:val="16"/>
      </w:rPr>
      <w:fldChar w:fldCharType="begin"/>
    </w:r>
    <w:r>
      <w:rPr>
        <w:rFonts w:ascii="Arial" w:eastAsia="Microsoft YaHei" w:hAnsi="Arial"/>
        <w:color w:val="808080"/>
        <w:sz w:val="16"/>
        <w:szCs w:val="16"/>
      </w:rPr>
      <w:instrText xml:space="preserve">PAGE</w:instrText>
    </w:r>
    <w:r>
      <w:rPr>
        <w:rFonts w:ascii="Arial" w:eastAsia="Microsoft YaHei" w:hAnsi="Arial"/>
        <w:color w:val="808080"/>
        <w:sz w:val="16"/>
        <w:szCs w:val="16"/>
      </w:rPr>
      <w:fldChar w:fldCharType="separate"/>
    </w:r>
    <w:r>
      <w:rPr>
        <w:rFonts w:ascii="Arial" w:eastAsia="Microsoft YaHei" w:hAnsi="Arial"/>
        <w:color w:val="808080"/>
        <w:sz w:val="16"/>
        <w:szCs w:val="16"/>
      </w:rPr>
      <w:fldChar w:fldCharType="end"/>
    </w:r>
    <w:r>
      <w:rPr>
        <w:rFonts w:ascii="Arial" w:eastAsia="Microsoft YaHei" w:hAnsi="Arial"/>
        <w:color w:val="808080"/>
        <w:sz w:val="16"/>
        <w:szCs w:val="16"/>
      </w:rPr>
      <w:t xml:space="preserve"> 页 / 共 </w:t>
    </w:r>
    <w:r>
      <w:rPr>
        <w:rFonts w:ascii="Arial" w:eastAsia="Microsoft YaHei" w:hAnsi="Arial"/>
        <w:color w:val="808080"/>
        <w:sz w:val="16"/>
        <w:szCs w:val="16"/>
      </w:rPr>
      <w:fldChar w:fldCharType="begin"/>
    </w:r>
    <w:r>
      <w:rPr>
        <w:rFonts w:ascii="Arial" w:eastAsia="Microsoft YaHei" w:hAnsi="Arial"/>
        <w:color w:val="808080"/>
        <w:sz w:val="16"/>
        <w:szCs w:val="16"/>
      </w:rPr>
      <w:instrText xml:space="preserve">NUMPAGES</w:instrText>
    </w:r>
    <w:r>
      <w:rPr>
        <w:rFonts w:ascii="Arial" w:eastAsia="Microsoft YaHei" w:hAnsi="Arial"/>
        <w:color w:val="808080"/>
        <w:sz w:val="16"/>
        <w:szCs w:val="16"/>
      </w:rPr>
      <w:fldChar w:fldCharType="separate"/>
    </w:r>
    <w:r>
      <w:rPr>
        <w:rFonts w:ascii="Arial" w:eastAsia="Microsoft YaHei" w:hAnsi="Arial"/>
        <w:color w:val="808080"/>
        <w:sz w:val="16"/>
        <w:szCs w:val="16"/>
      </w:rPr>
      <w:fldChar w:fldCharType="end"/>
    </w:r>
    <w:r>
      <w:rPr>
        <w:rFonts w:ascii="Arial" w:eastAsia="Microsoft YaHei" w:hAnsi="Arial"/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4" w:space="4"/>
      </w:pBdr>
      <w:jc w:val="right"/>
    </w:pPr>
    <w:r>
      <w:rPr>
        <w:rFonts w:ascii="Arial" w:eastAsia="Microsoft YaHei" w:hAnsi="Arial"/>
        <w:color w:val="808080"/>
        <w:sz w:val="16"/>
        <w:szCs w:val="16"/>
      </w:rPr>
      <w:t xml:space="preserve">生涯心旅 · 功能与技术说明（评审版）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1F1F1F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F1F1F"/>
      <w:sz w:val="34"/>
      <w:szCs w:val="34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40" w:before="260"/>
      <w:outlineLvl w:val="1"/>
    </w:pPr>
    <w:rPr>
      <w:rFonts w:ascii="Arial" w:eastAsia="Microsoft YaHei" w:hAnsi="Arial"/>
      <w:b/>
      <w:bCs/>
      <w:color w:val="1F1F1F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20"/>
      <w:outlineLvl w:val="2"/>
    </w:pPr>
    <w:rPr>
      <w:rFonts w:ascii="Arial" w:eastAsia="Microsoft YaHei" w:hAnsi="Arial"/>
      <w:b/>
      <w:bCs/>
      <w:color w:val="1F1F1F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2026-10-26T07:59:43.580Z</dcterms:created>
  <dcterms:modified xsi:type="dcterms:W3CDTF">2026-10-26T07:59:43.581Z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