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6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4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default" w:ascii="Times New Roman" w:hAnsi="Times New Roman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Times New Roman Bold" w:hAnsi="Times New Roman Bold" w:eastAsia="黑体" w:cs="Times New Roman Bold"/>
          <w:b/>
          <w:bCs/>
          <w:szCs w:val="21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5844540</wp:posOffset>
            </wp:positionH>
            <wp:positionV relativeFrom="paragraph">
              <wp:posOffset>-182880</wp:posOffset>
            </wp:positionV>
            <wp:extent cx="725170" cy="977265"/>
            <wp:effectExtent l="9525" t="9525" r="27305" b="22860"/>
            <wp:wrapNone/>
            <wp:docPr id="2" name="图片 2" descr="E:/01证件照/ai.png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:/01证件照/ai.pngai"/>
                    <pic:cNvPicPr>
                      <a:picLocks noChangeAspect="1"/>
                    </pic:cNvPicPr>
                  </pic:nvPicPr>
                  <pic:blipFill>
                    <a:blip r:embed="rId4"/>
                    <a:srcRect t="-158" b="-881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25170" cy="9772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24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-29845</wp:posOffset>
            </wp:positionH>
            <wp:positionV relativeFrom="paragraph">
              <wp:posOffset>-8890</wp:posOffset>
            </wp:positionV>
            <wp:extent cx="1534795" cy="478155"/>
            <wp:effectExtent l="0" t="0" r="1905" b="4445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5320" t="24856" r="14921" b="24413"/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478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Bold" w:hAnsi="Times New Roman Bold" w:eastAsia="黑体" w:cs="Times New Roman Bold"/>
          <w:b/>
          <w:bCs/>
          <w:sz w:val="40"/>
          <w:szCs w:val="40"/>
          <w:lang w:val="en-US" w:eastAsia="zh-CN"/>
        </w:rPr>
        <w:t>xxx</w:t>
      </w:r>
    </w:p>
    <w:p w14:paraId="347C8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Times New Roman Bold" w:hAnsi="Times New Roman Bold" w:eastAsia="黑体" w:cs="Times New Roman Bold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黑体" w:cs="黑体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黑体" w:cs="黑体"/>
          <w:b w:val="0"/>
          <w:bCs w:val="0"/>
          <w:szCs w:val="21"/>
          <w:lang w:val="en-US" w:eastAsia="zh-CN"/>
        </w:rPr>
        <w:t>2001.06 | XXX-XXXX-8888</w:t>
      </w:r>
      <w:r>
        <w:rPr>
          <w:rFonts w:hint="eastAsia" w:ascii="Times New Roman" w:hAnsi="Times New Roman" w:eastAsia="黑体" w:cs="黑体"/>
          <w:b w:val="0"/>
          <w:bCs w:val="0"/>
          <w:szCs w:val="21"/>
        </w:rPr>
        <w:t xml:space="preserve"> </w:t>
      </w:r>
      <w:r>
        <w:rPr>
          <w:rFonts w:hint="default" w:ascii="Times New Roman Bold" w:hAnsi="Times New Roman Bold" w:eastAsia="黑体" w:cs="Times New Roman Bold"/>
          <w:b/>
          <w:bCs/>
          <w:szCs w:val="21"/>
        </w:rPr>
        <w:t>|</w:t>
      </w:r>
      <w:r>
        <w:rPr>
          <w:rFonts w:hint="eastAsia" w:ascii="Times New Roman" w:hAnsi="Times New Roman" w:eastAsia="黑体" w:cs="黑体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黑体" w:cs="黑体"/>
          <w:b w:val="0"/>
          <w:bCs w:val="0"/>
          <w:szCs w:val="21"/>
          <w:lang w:val="en-US" w:eastAsia="zh-CN"/>
        </w:rPr>
        <w:t>xxxxxx@163.com</w:t>
      </w:r>
      <w:r>
        <w:rPr>
          <w:rStyle w:val="10"/>
          <w:rFonts w:hint="eastAsia" w:ascii="Times New Roman" w:hAnsi="Times New Roman" w:eastAsia="黑体" w:cs="黑体"/>
          <w:b w:val="0"/>
          <w:bCs w:val="0"/>
          <w:color w:val="auto"/>
          <w:szCs w:val="21"/>
          <w:u w:val="none"/>
          <w:lang w:val="en-US" w:eastAsia="zh-CN"/>
        </w:rPr>
        <w:t xml:space="preserve"> </w:t>
      </w:r>
      <w:r>
        <w:rPr>
          <w:rFonts w:hint="default" w:ascii="Times New Roman Bold" w:hAnsi="Times New Roman Bold" w:eastAsia="黑体" w:cs="Times New Roman Bold"/>
          <w:b/>
          <w:bCs/>
          <w:szCs w:val="21"/>
        </w:rPr>
        <w:t>|</w:t>
      </w:r>
      <w:r>
        <w:rPr>
          <w:rFonts w:hint="eastAsia" w:ascii="Times New Roman Bold" w:hAnsi="Times New Roman Bold" w:eastAsia="黑体" w:cs="Times New Roman Bold"/>
          <w:b/>
          <w:bCs/>
          <w:szCs w:val="21"/>
          <w:lang w:val="en-US" w:eastAsia="zh-CN"/>
        </w:rPr>
        <w:t xml:space="preserve"> 中共党员</w:t>
      </w:r>
    </w:p>
    <w:p w14:paraId="7FDE24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3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 Bold" w:hAnsi="Times New Roman Bold" w:eastAsia="黑体" w:cs="Times New Roman Bold"/>
          <w:b/>
          <w:bCs/>
          <w:szCs w:val="21"/>
          <w:lang w:val="en-US" w:eastAsia="zh-CN"/>
        </w:rPr>
      </w:pPr>
    </w:p>
    <w:p w14:paraId="1A6A6D83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7030A0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Times New Roman Regular" w:hAnsi="Times New Roman Regular" w:eastAsia="宋体" w:cs="Times New Roman Regular"/>
          <w:b/>
          <w:bCs/>
          <w:color w:val="7030A0"/>
          <w:sz w:val="26"/>
          <w:szCs w:val="26"/>
          <w:u w:val="none"/>
        </w:rPr>
      </w:pP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  <w:t>教育经历</w:t>
      </w:r>
    </w:p>
    <w:tbl>
      <w:tblPr>
        <w:tblStyle w:val="7"/>
        <w:tblW w:w="5000" w:type="pct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7"/>
        <w:gridCol w:w="3510"/>
        <w:gridCol w:w="3529"/>
      </w:tblGrid>
      <w:tr w14:paraId="4B67D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3" w:type="pct"/>
            <w:tcBorders>
              <w:tl2br w:val="nil"/>
              <w:tr2bl w:val="nil"/>
            </w:tcBorders>
            <w:vAlign w:val="center"/>
          </w:tcPr>
          <w:p w14:paraId="59965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</w:rPr>
            </w:pPr>
          </w:p>
        </w:tc>
        <w:tc>
          <w:tcPr>
            <w:tcW w:w="1664" w:type="pct"/>
            <w:tcBorders>
              <w:tl2br w:val="nil"/>
              <w:tr2bl w:val="nil"/>
            </w:tcBorders>
            <w:vAlign w:val="bottom"/>
          </w:tcPr>
          <w:p w14:paraId="2D5B54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微软雅黑" w:cs="黑体"/>
                <w:b/>
                <w:bCs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应用经济学硕士</w:t>
            </w:r>
          </w:p>
        </w:tc>
        <w:tc>
          <w:tcPr>
            <w:tcW w:w="1672" w:type="pct"/>
            <w:tcBorders>
              <w:tl2br w:val="nil"/>
              <w:tr2bl w:val="nil"/>
            </w:tcBorders>
            <w:vAlign w:val="center"/>
          </w:tcPr>
          <w:p w14:paraId="7682C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</w:rPr>
              <w:t>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</w:rPr>
              <w:t>.09～202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</w:rPr>
              <w:t>.06</w:t>
            </w:r>
          </w:p>
        </w:tc>
      </w:tr>
      <w:tr w14:paraId="1DCD3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1663" w:type="pct"/>
            <w:tcBorders>
              <w:tl2br w:val="nil"/>
              <w:tr2bl w:val="nil"/>
            </w:tcBorders>
            <w:vAlign w:val="center"/>
          </w:tcPr>
          <w:p w14:paraId="300C5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清华大学</w:t>
            </w:r>
          </w:p>
        </w:tc>
        <w:tc>
          <w:tcPr>
            <w:tcW w:w="1664" w:type="pct"/>
            <w:tcBorders>
              <w:tl2br w:val="nil"/>
              <w:tr2bl w:val="nil"/>
            </w:tcBorders>
          </w:tcPr>
          <w:p w14:paraId="416CAD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经济学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  <w:t>学士</w:t>
            </w:r>
          </w:p>
        </w:tc>
        <w:tc>
          <w:tcPr>
            <w:tcW w:w="1672" w:type="pct"/>
            <w:tcBorders>
              <w:tl2br w:val="nil"/>
              <w:tr2bl w:val="nil"/>
            </w:tcBorders>
            <w:vAlign w:val="center"/>
          </w:tcPr>
          <w:p w14:paraId="252AD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20</w:t>
            </w:r>
            <w:r>
              <w:rPr>
                <w:rFonts w:hint="default" w:ascii="Times New Roman" w:hAnsi="Times New Roman" w:eastAsia="黑体" w:cs="黑体"/>
                <w:b/>
                <w:bCs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.09～202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.06</w:t>
            </w:r>
          </w:p>
        </w:tc>
      </w:tr>
      <w:tr w14:paraId="5EC03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000" w:type="pct"/>
            <w:gridSpan w:val="3"/>
            <w:tcBorders>
              <w:tl2br w:val="nil"/>
              <w:tr2bl w:val="nil"/>
            </w:tcBorders>
            <w:vAlign w:val="center"/>
          </w:tcPr>
          <w:p w14:paraId="33B214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283" w:leftChars="0" w:right="0" w:rightChars="0" w:hanging="226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  <w:t>GPA</w:t>
            </w:r>
            <w:r>
              <w:rPr>
                <w:rFonts w:hint="default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 xml:space="preserve">3.64/4.0（前20%）| 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  <w:t>荣誉奖项</w:t>
            </w:r>
            <w:r>
              <w:rPr>
                <w:rFonts w:hint="default" w:ascii="Times New Roman" w:hAnsi="Times New Roman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>优秀毕业生、校级三等奖学金（2次）、大学生数学建模竞赛一等奖</w:t>
            </w:r>
          </w:p>
        </w:tc>
      </w:tr>
    </w:tbl>
    <w:p w14:paraId="5A78738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7030A0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</w:pP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  <w:t>实习经历</w:t>
      </w:r>
    </w:p>
    <w:tbl>
      <w:tblPr>
        <w:tblStyle w:val="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1"/>
        <w:gridCol w:w="3507"/>
        <w:gridCol w:w="2"/>
        <w:gridCol w:w="3524"/>
      </w:tblGrid>
      <w:tr w14:paraId="3557B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1" w:type="dxa"/>
            <w:vAlign w:val="top"/>
          </w:tcPr>
          <w:p w14:paraId="011C5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某头部互联网公司</w:t>
            </w:r>
          </w:p>
        </w:tc>
        <w:tc>
          <w:tcPr>
            <w:tcW w:w="3507" w:type="dxa"/>
            <w:vAlign w:val="top"/>
          </w:tcPr>
          <w:p w14:paraId="4AA8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数据科学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Hans"/>
              </w:rPr>
              <w:t>实习生</w:t>
            </w:r>
          </w:p>
        </w:tc>
        <w:tc>
          <w:tcPr>
            <w:tcW w:w="3526" w:type="dxa"/>
            <w:gridSpan w:val="2"/>
            <w:vAlign w:val="top"/>
          </w:tcPr>
          <w:p w14:paraId="75D33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06</w:t>
            </w:r>
          </w:p>
        </w:tc>
      </w:tr>
      <w:tr w14:paraId="0D05B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0" w:hRule="atLeast"/>
        </w:trPr>
        <w:tc>
          <w:tcPr>
            <w:tcW w:w="10544" w:type="dxa"/>
            <w:gridSpan w:val="4"/>
            <w:vAlign w:val="top"/>
          </w:tcPr>
          <w:p w14:paraId="453A3F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6" w:firstLineChars="0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广告瓶颈分析</w:t>
            </w:r>
            <w:r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  <w:t>：</w:t>
            </w:r>
            <w:r>
              <w:rPr>
                <w:rFonts w:hint="eastAsia" w:ascii="黑体" w:hAnsi="黑体" w:eastAsia="黑体" w:cs="黑体"/>
                <w:color w:val="auto"/>
                <w:sz w:val="20"/>
                <w:szCs w:val="20"/>
                <w:lang w:val="en-US" w:eastAsia="zh-CN"/>
              </w:rPr>
              <w:t>拆解视频广告业务链路，通过多维度漏斗分析定位AIGC素材生成、用户停留时长等4项关键瓶颈，提出基于用户实时行为的动态素材推荐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auto"/>
                <w:sz w:val="20"/>
                <w:szCs w:val="20"/>
                <w:lang w:val="en-US" w:eastAsia="zh-CN"/>
              </w:rPr>
              <w:t>策略，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  <w:t>推动广告点击率提升150%</w:t>
            </w:r>
          </w:p>
          <w:p w14:paraId="5DB8E9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6" w:firstLineChars="0"/>
              <w:textAlignment w:val="auto"/>
              <w:outlineLvl w:val="9"/>
              <w:rPr>
                <w:rFonts w:hint="eastAsia" w:ascii="黑体" w:hAnsi="黑体" w:eastAsia="黑体" w:cs="黑体"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广告样式优化</w:t>
            </w: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Hans"/>
              </w:rPr>
              <w:t>：</w:t>
            </w:r>
            <w:r>
              <w:rPr>
                <w:rFonts w:hint="eastAsia" w:ascii="黑体" w:hAnsi="黑体" w:eastAsia="黑体" w:cs="黑体"/>
                <w:b w:val="0"/>
                <w:bCs w:val="0"/>
                <w:sz w:val="20"/>
                <w:szCs w:val="20"/>
                <w:lang w:val="en-US" w:eastAsia="zh-CN"/>
              </w:rPr>
              <w:t>主导3类广告样式（动态贴片、互动浮层、多语言翻译）的AB实验设计，发现样式组合冲突导致用户体验衰减，推动产品团队优化交互逻辑，最终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使广告完整曝光率提升10%</w:t>
            </w:r>
          </w:p>
        </w:tc>
      </w:tr>
      <w:tr w14:paraId="5A6A5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1" w:type="dxa"/>
            <w:vAlign w:val="top"/>
          </w:tcPr>
          <w:p w14:paraId="53D33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textAlignment w:val="auto"/>
              <w:rPr>
                <w:rFonts w:hint="default" w:ascii="黑体" w:hAnsi="黑体" w:eastAsia="黑体" w:cs="黑体"/>
                <w:b/>
                <w:bCs w:val="0"/>
                <w:color w:val="auto"/>
                <w:sz w:val="20"/>
                <w:szCs w:val="20"/>
                <w:shd w:val="clear" w:color="auto" w:fill="auto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 w:val="20"/>
                <w:szCs w:val="20"/>
                <w:shd w:val="clear" w:color="auto" w:fill="auto"/>
                <w:lang w:val="en-US" w:eastAsia="zh-CN"/>
              </w:rPr>
              <w:t>某国有大行一级分行</w:t>
            </w:r>
          </w:p>
        </w:tc>
        <w:tc>
          <w:tcPr>
            <w:tcW w:w="3507" w:type="dxa"/>
            <w:vAlign w:val="top"/>
          </w:tcPr>
          <w:p w14:paraId="02232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jc w:val="center"/>
              <w:textAlignment w:val="auto"/>
              <w:rPr>
                <w:rFonts w:hint="default" w:ascii="黑体" w:hAnsi="黑体" w:eastAsia="黑体" w:cs="黑体"/>
                <w:b/>
                <w:bCs w:val="0"/>
                <w:color w:val="auto"/>
                <w:sz w:val="20"/>
                <w:szCs w:val="20"/>
                <w:shd w:val="clear" w:color="auto" w:fill="auto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业务助理实习生</w:t>
            </w:r>
          </w:p>
        </w:tc>
        <w:tc>
          <w:tcPr>
            <w:tcW w:w="3526" w:type="dxa"/>
            <w:gridSpan w:val="2"/>
            <w:vAlign w:val="top"/>
          </w:tcPr>
          <w:p w14:paraId="6DF56A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default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2024.07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2024.11</w:t>
            </w:r>
          </w:p>
        </w:tc>
      </w:tr>
      <w:tr w14:paraId="440C2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4"/>
            <w:vAlign w:val="top"/>
          </w:tcPr>
          <w:p w14:paraId="2E230F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6" w:firstLineChars="0"/>
              <w:textAlignment w:val="auto"/>
              <w:outlineLvl w:val="9"/>
              <w:rPr>
                <w:rFonts w:hint="default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  <w:t>客户价值挖掘</w:t>
            </w:r>
            <w:r>
              <w:rPr>
                <w:rFonts w:hint="eastAsia" w:ascii="黑体" w:hAnsi="黑体" w:eastAsia="黑体" w:cs="黑体"/>
                <w:color w:val="auto"/>
                <w:sz w:val="20"/>
                <w:szCs w:val="20"/>
                <w:lang w:val="en-US" w:eastAsia="zh-CN"/>
              </w:rPr>
              <w:t>：针对AUM 1-5万、10-20万两类客群，通过特征重要性分析（SHAP值）筛选出月均理财申购次数、活期存款占比等8个关键指标，构建梯度提升树模型，提出差异化营销方案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  <w:t>被纳入分行年度计划</w:t>
            </w:r>
          </w:p>
          <w:p w14:paraId="46F1A1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6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  <w:t>客户流失预警</w:t>
            </w:r>
            <w:r>
              <w:rPr>
                <w:rFonts w:hint="eastAsia" w:ascii="黑体" w:hAnsi="黑体" w:eastAsia="黑体" w:cs="黑体"/>
                <w:color w:val="auto"/>
                <w:sz w:val="20"/>
                <w:szCs w:val="20"/>
                <w:lang w:val="en-US" w:eastAsia="zh-CN"/>
              </w:rPr>
              <w:t>：基于客户行为数据（登录频率、转账活跃度等）建立逻辑回归模型，预测准确率96.5%，输出高流失风险客户名单（TOP 500），配套设计挽回策略使</w:t>
            </w:r>
            <w:r>
              <w:rPr>
                <w:rFonts w:hint="eastAsia" w:ascii="黑体" w:hAnsi="黑体" w:eastAsia="黑体" w:cs="黑体"/>
                <w:b/>
                <w:bCs/>
                <w:color w:val="auto"/>
                <w:sz w:val="20"/>
                <w:szCs w:val="20"/>
                <w:lang w:val="en-US" w:eastAsia="zh-CN"/>
              </w:rPr>
              <w:t>次月流失率降低8%</w:t>
            </w:r>
          </w:p>
        </w:tc>
      </w:tr>
      <w:tr w14:paraId="2E8D2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1" w:type="dxa"/>
            <w:vAlign w:val="top"/>
          </w:tcPr>
          <w:p w14:paraId="6B212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某证券公司</w:t>
            </w:r>
          </w:p>
        </w:tc>
        <w:tc>
          <w:tcPr>
            <w:tcW w:w="3509" w:type="dxa"/>
            <w:gridSpan w:val="2"/>
            <w:vAlign w:val="top"/>
          </w:tcPr>
          <w:p w14:paraId="33AD3D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行业研究实习生</w:t>
            </w:r>
          </w:p>
        </w:tc>
        <w:tc>
          <w:tcPr>
            <w:tcW w:w="3524" w:type="dxa"/>
            <w:vAlign w:val="top"/>
          </w:tcPr>
          <w:p w14:paraId="4DF8F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2024.03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～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2024.06</w:t>
            </w:r>
          </w:p>
        </w:tc>
      </w:tr>
      <w:tr w14:paraId="1778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4"/>
            <w:vAlign w:val="top"/>
          </w:tcPr>
          <w:p w14:paraId="0824A2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40" w:lineRule="atLeast"/>
              <w:ind w:left="283" w:leftChars="0" w:hanging="226" w:firstLineChars="0"/>
              <w:jc w:val="both"/>
              <w:textAlignment w:val="auto"/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新能源产业链研究：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系统研究光伏储能行业，整合IEA、BNEF等权威机构数据，分析政策补贴、硅料价格周期、技术路线演进等6大维度，完成25页深度报告，支撑团队发布行业评级调整</w:t>
            </w:r>
          </w:p>
          <w:p w14:paraId="273A8A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40" w:lineRule="atLeast"/>
              <w:ind w:left="283" w:leftChars="0" w:hanging="226" w:firstLineChars="0"/>
              <w:jc w:val="both"/>
              <w:textAlignment w:val="auto"/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上市公司分析</w:t>
            </w:r>
            <w:r>
              <w:rPr>
                <w:rFonts w:hint="eastAsia" w:ascii="黑体" w:hAnsi="黑体" w:eastAsia="黑体" w:cs="黑体"/>
                <w:b w:val="0"/>
                <w:bCs w:val="0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：针对某头部锂电材料企业，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独立搭建融合DCF与可比公司法的复合估值模型，处理其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过去10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间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财务数据，完成40页路演材料，核心结论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被纳入基金经理投资备忘录</w:t>
            </w:r>
          </w:p>
          <w:p w14:paraId="78E479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40" w:lineRule="atLeast"/>
              <w:ind w:left="283" w:leftChars="0" w:hanging="226" w:firstLineChars="0"/>
              <w:jc w:val="both"/>
              <w:textAlignment w:val="auto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数据支持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搭建基于Python的金融数据处理流水线，清洗Wind/Choice金融终端数据1.2w+条，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标准化分析模板。</w:t>
            </w:r>
          </w:p>
        </w:tc>
      </w:tr>
    </w:tbl>
    <w:p w14:paraId="22133462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7030A0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  <w:lang w:eastAsia="zh-Hans"/>
        </w:rPr>
      </w:pP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  <w:t>项目经历</w:t>
      </w:r>
    </w:p>
    <w:tbl>
      <w:tblPr>
        <w:tblStyle w:val="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3"/>
        <w:gridCol w:w="1"/>
        <w:gridCol w:w="3512"/>
        <w:gridCol w:w="2"/>
        <w:gridCol w:w="3516"/>
      </w:tblGrid>
      <w:tr w14:paraId="532E6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3" w:type="dxa"/>
            <w:vAlign w:val="top"/>
          </w:tcPr>
          <w:p w14:paraId="514304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after="0" w:line="340" w:lineRule="atLeast"/>
              <w:textAlignment w:val="auto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二手交易平台用户行为研究</w:t>
            </w:r>
          </w:p>
        </w:tc>
        <w:tc>
          <w:tcPr>
            <w:tcW w:w="3513" w:type="dxa"/>
            <w:gridSpan w:val="2"/>
            <w:vAlign w:val="top"/>
          </w:tcPr>
          <w:p w14:paraId="7344E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pacing w:after="0" w:line="340" w:lineRule="atLeast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项目负责人</w:t>
            </w:r>
          </w:p>
        </w:tc>
        <w:tc>
          <w:tcPr>
            <w:tcW w:w="3518" w:type="dxa"/>
            <w:gridSpan w:val="2"/>
            <w:shd w:val="clear" w:color="auto" w:fill="auto"/>
            <w:vAlign w:val="top"/>
          </w:tcPr>
          <w:p w14:paraId="03057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kern w:val="2"/>
                <w:sz w:val="20"/>
                <w:szCs w:val="20"/>
                <w:u w:val="none"/>
                <w:lang w:val="en-US" w:eastAsia="zh-Hans" w:bidi="ar-SA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.12～202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.05</w:t>
            </w:r>
          </w:p>
        </w:tc>
      </w:tr>
      <w:tr w14:paraId="74E1B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5"/>
            <w:vAlign w:val="top"/>
          </w:tcPr>
          <w:p w14:paraId="3C3349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clear" w:pos="283"/>
              </w:tabs>
              <w:kinsoku/>
              <w:wordWrap/>
              <w:overflowPunct/>
              <w:topLinePunct w:val="0"/>
              <w:bidi w:val="0"/>
              <w:adjustRightInd/>
              <w:snapToGrid w:val="0"/>
              <w:spacing w:after="0" w:line="340" w:lineRule="atLeast"/>
              <w:ind w:left="283" w:leftChars="0" w:hanging="226" w:firstLineChars="0"/>
              <w:jc w:val="left"/>
              <w:textAlignment w:val="auto"/>
              <w:rPr>
                <w:rFonts w:hint="eastAsia" w:ascii="黑体" w:hAnsi="黑体" w:eastAsia="黑体" w:cs="黑体"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针对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C2C二手平台资源闲置问题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，设计线上问卷，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并以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深度访谈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收集数据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，建立方差分析、Logit回归分析等计量模型，分析二手市场的用户特征以及经济可行性，形成项目报告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2.3万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字并获得全国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XX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大赛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国家二等奖</w:t>
            </w:r>
          </w:p>
        </w:tc>
      </w:tr>
      <w:tr w14:paraId="3A0F6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4" w:type="dxa"/>
            <w:gridSpan w:val="2"/>
            <w:vAlign w:val="top"/>
          </w:tcPr>
          <w:p w14:paraId="28A181C1">
            <w:pPr>
              <w:keepNext w:val="0"/>
              <w:keepLines w:val="0"/>
              <w:pageBreakBefore w:val="0"/>
              <w:widowControl w:val="0"/>
              <w:numPr>
                <w:ilvl w:val="-1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eastAsia="zh-Hans"/>
              </w:rPr>
            </w:pPr>
            <w:r>
              <w:rPr>
                <w:rFonts w:hint="eastAsia" w:ascii="黑体" w:hAnsi="黑体" w:eastAsia="黑体" w:cs="黑体"/>
                <w:b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乡村振兴商业创新大赛</w:t>
            </w:r>
          </w:p>
        </w:tc>
        <w:tc>
          <w:tcPr>
            <w:tcW w:w="3514" w:type="dxa"/>
            <w:gridSpan w:val="2"/>
            <w:vAlign w:val="top"/>
          </w:tcPr>
          <w:p w14:paraId="7FB53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100" w:firstLineChars="50"/>
              <w:jc w:val="center"/>
              <w:textAlignment w:val="auto"/>
              <w:outlineLvl w:val="9"/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队长</w:t>
            </w:r>
          </w:p>
        </w:tc>
        <w:tc>
          <w:tcPr>
            <w:tcW w:w="3516" w:type="dxa"/>
            <w:vAlign w:val="top"/>
          </w:tcPr>
          <w:p w14:paraId="4A6BF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2021.12～2022.05</w:t>
            </w:r>
          </w:p>
        </w:tc>
      </w:tr>
      <w:tr w14:paraId="17B57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5"/>
            <w:vAlign w:val="top"/>
          </w:tcPr>
          <w:p w14:paraId="6840C9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atLeast"/>
              <w:ind w:left="283" w:leftChars="0" w:hanging="227" w:firstLineChars="0"/>
              <w:jc w:val="both"/>
              <w:textAlignment w:val="auto"/>
              <w:rPr>
                <w:rFonts w:hint="eastAsia" w:ascii="黑体" w:hAnsi="黑体" w:eastAsia="黑体" w:cs="黑体"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带队调研某省特色农产品产业链，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实地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走访8个种植基地，组织农户、经销商访谈12场，通过问卷（回收800+份）量化分析产销痛点，从可行性、市场竞争、销售模式等方面制定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商业</w:t>
            </w:r>
            <w:r>
              <w:rPr>
                <w:rFonts w:hint="eastAsia" w:ascii="黑体" w:hAnsi="黑体" w:eastAsia="黑体" w:cs="黑体"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策划方案，形成3w+字策划案，获得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全国优秀奖</w:t>
            </w:r>
          </w:p>
        </w:tc>
      </w:tr>
    </w:tbl>
    <w:p w14:paraId="2E788EC7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7030A0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  <w:lang w:val="en-US" w:eastAsia="zh-Hans"/>
        </w:rPr>
      </w:pP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  <w:lang w:val="en-US" w:eastAsia="zh-CN"/>
        </w:rPr>
        <w:t>校园</w:t>
      </w: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  <w:lang w:val="en-US" w:eastAsia="zh-Hans"/>
        </w:rPr>
        <w:t>经历</w:t>
      </w:r>
    </w:p>
    <w:tbl>
      <w:tblPr>
        <w:tblStyle w:val="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3"/>
        <w:gridCol w:w="3511"/>
        <w:gridCol w:w="2"/>
        <w:gridCol w:w="3518"/>
      </w:tblGrid>
      <w:tr w14:paraId="58415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3" w:type="dxa"/>
            <w:vAlign w:val="top"/>
          </w:tcPr>
          <w:p w14:paraId="2ACB7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textAlignment w:val="auto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某校团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委</w:t>
            </w:r>
          </w:p>
        </w:tc>
        <w:tc>
          <w:tcPr>
            <w:tcW w:w="3511" w:type="dxa"/>
            <w:vAlign w:val="top"/>
          </w:tcPr>
          <w:p w14:paraId="53C0F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jc w:val="center"/>
              <w:textAlignment w:val="auto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团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</w:rPr>
              <w:t>支部书记</w:t>
            </w:r>
          </w:p>
        </w:tc>
        <w:tc>
          <w:tcPr>
            <w:tcW w:w="3520" w:type="dxa"/>
            <w:gridSpan w:val="2"/>
            <w:vAlign w:val="top"/>
          </w:tcPr>
          <w:p w14:paraId="409DEA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.10～202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5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.06</w:t>
            </w:r>
          </w:p>
        </w:tc>
      </w:tr>
      <w:tr w14:paraId="4242B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4"/>
            <w:vAlign w:val="top"/>
          </w:tcPr>
          <w:p w14:paraId="6FF4F6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textAlignment w:val="auto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Hans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  <w:lang w:val="en-US" w:eastAsia="zh-CN"/>
              </w:rPr>
              <w:t>党建引领</w:t>
            </w:r>
            <w:r>
              <w:rPr>
                <w:rFonts w:hint="eastAsia" w:ascii="黑体" w:hAnsi="黑体" w:eastAsia="黑体" w:cs="黑体"/>
                <w:sz w:val="20"/>
                <w:szCs w:val="20"/>
                <w:lang w:val="en-US" w:eastAsia="zh-CN"/>
              </w:rPr>
              <w:t>：</w:t>
            </w:r>
            <w:r>
              <w:rPr>
                <w:rFonts w:hint="eastAsia" w:ascii="黑体" w:hAnsi="黑体" w:eastAsia="黑体" w:cs="黑体"/>
                <w:sz w:val="20"/>
                <w:szCs w:val="20"/>
              </w:rPr>
              <w:t>牵头打造“先锋领航”党建品牌，发展党员12名，组织“红色讲堂”等主题活动70+场，联动28个党支部，覆盖800+人次，相关工作</w:t>
            </w:r>
            <w:r>
              <w:rPr>
                <w:rFonts w:hint="eastAsia" w:ascii="黑体" w:hAnsi="黑体" w:eastAsia="黑体" w:cs="黑体"/>
                <w:b/>
                <w:bCs/>
                <w:sz w:val="20"/>
                <w:szCs w:val="20"/>
              </w:rPr>
              <w:t>获校党委官网、校报等报道15次</w:t>
            </w:r>
          </w:p>
        </w:tc>
      </w:tr>
      <w:tr w14:paraId="7F524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13" w:type="dxa"/>
            <w:vAlign w:val="top"/>
          </w:tcPr>
          <w:p w14:paraId="1E1769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某学院团委宣传部</w:t>
            </w:r>
          </w:p>
        </w:tc>
        <w:tc>
          <w:tcPr>
            <w:tcW w:w="3513" w:type="dxa"/>
            <w:gridSpan w:val="2"/>
            <w:vAlign w:val="top"/>
          </w:tcPr>
          <w:p w14:paraId="66549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部长</w:t>
            </w:r>
          </w:p>
        </w:tc>
        <w:tc>
          <w:tcPr>
            <w:tcW w:w="3518" w:type="dxa"/>
            <w:vAlign w:val="top"/>
          </w:tcPr>
          <w:p w14:paraId="686AD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0" w:leftChars="0" w:right="0" w:rightChars="0" w:firstLine="0" w:firstLineChars="0"/>
              <w:jc w:val="right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20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22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～20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23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.</w:t>
            </w:r>
            <w:r>
              <w:rPr>
                <w:rFonts w:hint="default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Hans"/>
              </w:rPr>
              <w:t>0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u w:val="none"/>
                <w:lang w:val="en-US" w:eastAsia="zh-CN"/>
              </w:rPr>
              <w:t>4</w:t>
            </w:r>
          </w:p>
        </w:tc>
      </w:tr>
      <w:tr w14:paraId="4196E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44" w:type="dxa"/>
            <w:gridSpan w:val="4"/>
            <w:vAlign w:val="top"/>
          </w:tcPr>
          <w:p w14:paraId="69242E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7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活动宣传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>：主导学院“学术文化节”“迎新晚会”等8场大型活动视觉设计，独立完成海报、邀请函、PPT等30+份物料，推动活动参与人数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超预期40%，累计吸引超过2500人次参与</w:t>
            </w:r>
          </w:p>
          <w:p w14:paraId="7815D9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40" w:lineRule="atLeast"/>
              <w:ind w:left="283" w:leftChars="0" w:right="0" w:rightChars="0" w:hanging="227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账号运营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>：运营学院公众号、视频号，保证一周2篇推送，累计发布推文30余篇，</w:t>
            </w: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账号关注增长超30%</w:t>
            </w:r>
          </w:p>
        </w:tc>
      </w:tr>
    </w:tbl>
    <w:p w14:paraId="1AC0E855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single" w:color="7030A0" w:sz="12" w:space="1"/>
          <w:right w:val="none" w:color="auto" w:sz="0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</w:pP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  <w:lang w:val="en-US" w:eastAsia="zh-Hans"/>
        </w:rPr>
        <w:t>个人</w:t>
      </w:r>
      <w:r>
        <w:rPr>
          <w:rFonts w:hint="eastAsia" w:ascii="黑体" w:hAnsi="黑体" w:eastAsia="黑体" w:cs="黑体"/>
          <w:b/>
          <w:bCs/>
          <w:color w:val="7030A0"/>
          <w:sz w:val="26"/>
          <w:szCs w:val="26"/>
          <w:u w:val="none"/>
        </w:rPr>
        <w:t>技能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6"/>
      </w:tblGrid>
      <w:tr w14:paraId="5D63E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5000" w:type="pct"/>
          </w:tcPr>
          <w:p w14:paraId="240E95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283" w:leftChars="0" w:right="0" w:rightChars="0" w:hanging="227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资格证书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 xml:space="preserve">：CET-6（650分）、TOFEL（110分）、CPA、证券从业资格证、C2驾照、普通话二甲(88.7) </w:t>
            </w:r>
          </w:p>
          <w:p w14:paraId="36FA79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283" w:leftChars="0" w:right="0" w:rightChars="0" w:hanging="227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专业技能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>：办公常用(Office)、数据分析（SQL、SPSS、Stata、Tableau）、金融数据库（Wind、Choice、Bloomberg）</w:t>
            </w:r>
          </w:p>
          <w:p w14:paraId="090200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20" w:lineRule="exact"/>
              <w:ind w:left="283" w:leftChars="0" w:right="0" w:rightChars="0" w:hanging="227" w:firstLineChars="0"/>
              <w:textAlignment w:val="auto"/>
              <w:outlineLvl w:val="9"/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Hans"/>
              </w:rPr>
            </w:pPr>
            <w:r>
              <w:rPr>
                <w:rFonts w:hint="eastAsia" w:ascii="Times New Roman" w:hAnsi="Times New Roman" w:eastAsia="黑体" w:cs="黑体"/>
                <w:b/>
                <w:bCs/>
                <w:sz w:val="20"/>
                <w:szCs w:val="20"/>
                <w:lang w:val="en-US" w:eastAsia="zh-CN"/>
              </w:rPr>
              <w:t>兴趣特长</w:t>
            </w:r>
            <w:r>
              <w:rPr>
                <w:rFonts w:hint="eastAsia" w:ascii="Times New Roman" w:hAnsi="Times New Roman" w:eastAsia="黑体" w:cs="黑体"/>
                <w:sz w:val="20"/>
                <w:szCs w:val="20"/>
                <w:lang w:val="en-US" w:eastAsia="zh-CN"/>
              </w:rPr>
              <w:t>：羽毛球（校赛二等奖）、钢琴（6级）、摄影（团委宣传部经历）</w:t>
            </w:r>
          </w:p>
        </w:tc>
      </w:tr>
    </w:tbl>
    <w:p w14:paraId="511B2608">
      <w:pPr>
        <w:rPr>
          <w:rFonts w:hint="eastAsia" w:ascii="Times New Roman" w:hAnsi="Times New Roman" w:eastAsia="黑体" w:cs="黑体"/>
          <w:sz w:val="22"/>
          <w:szCs w:val="24"/>
        </w:rPr>
      </w:pPr>
    </w:p>
    <w:sectPr>
      <w:pgSz w:w="11906" w:h="16838"/>
      <w:pgMar w:top="454" w:right="680" w:bottom="227" w:left="6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altName w:val="Times New Roman"/>
    <w:panose1 w:val="02020703060505090304"/>
    <w:charset w:val="00"/>
    <w:family w:val="auto"/>
    <w:pitch w:val="default"/>
    <w:sig w:usb0="00000000" w:usb1="00000000" w:usb2="00000001" w:usb3="00000000" w:csb0="400001BF" w:csb1="DFF70000"/>
  </w:font>
  <w:font w:name="Times New Roman Regular">
    <w:altName w:val="Times New Roman"/>
    <w:panose1 w:val="02020703060505090304"/>
    <w:charset w:val="00"/>
    <w:family w:val="auto"/>
    <w:pitch w:val="default"/>
    <w:sig w:usb0="00000000" w:usb1="00000000" w:usb2="00000001" w:usb3="00000000" w:csb0="400001BF" w:csb1="DFF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F2D920"/>
    <w:multiLevelType w:val="singleLevel"/>
    <w:tmpl w:val="64F2D920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leftChars="0" w:hanging="226" w:firstLineChars="0"/>
      </w:pPr>
      <w:rPr>
        <w:rFonts w:hint="default" w:ascii="Wingdings" w:hAnsi="Wingdings"/>
        <w:spacing w:val="-57"/>
        <w:sz w:val="16"/>
      </w:rPr>
    </w:lvl>
  </w:abstractNum>
  <w:abstractNum w:abstractNumId="1">
    <w:nsid w:val="64F2E2D1"/>
    <w:multiLevelType w:val="singleLevel"/>
    <w:tmpl w:val="64F2E2D1"/>
    <w:lvl w:ilvl="0" w:tentative="0">
      <w:start w:val="1"/>
      <w:numFmt w:val="bullet"/>
      <w:lvlText w:val=""/>
      <w:lvlJc w:val="left"/>
      <w:pPr>
        <w:tabs>
          <w:tab w:val="left" w:pos="283"/>
        </w:tabs>
        <w:ind w:left="283" w:leftChars="0" w:hanging="226" w:firstLineChars="0"/>
      </w:pPr>
      <w:rPr>
        <w:rFonts w:hint="default" w:ascii="Wingdings" w:hAnsi="Wingdings"/>
        <w:spacing w:val="-57"/>
        <w:sz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105"/>
  <w:drawingGridVerticalSpacing w:val="157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hNGJiMWVmZTg4ZjFhYWZhYWFiMzBkODkwYWRkZmUifQ=="/>
  </w:docVars>
  <w:rsids>
    <w:rsidRoot w:val="00172A27"/>
    <w:rsid w:val="000B4EA5"/>
    <w:rsid w:val="000F1B60"/>
    <w:rsid w:val="001C6B4A"/>
    <w:rsid w:val="00220B1E"/>
    <w:rsid w:val="00265007"/>
    <w:rsid w:val="002C0C41"/>
    <w:rsid w:val="002E690C"/>
    <w:rsid w:val="003D3ABE"/>
    <w:rsid w:val="0045165A"/>
    <w:rsid w:val="00647ABC"/>
    <w:rsid w:val="00664CA4"/>
    <w:rsid w:val="00736734"/>
    <w:rsid w:val="00784E5D"/>
    <w:rsid w:val="007F43A0"/>
    <w:rsid w:val="008370C6"/>
    <w:rsid w:val="008A7DF5"/>
    <w:rsid w:val="008C4496"/>
    <w:rsid w:val="00A2356E"/>
    <w:rsid w:val="00AA4E79"/>
    <w:rsid w:val="00AE6115"/>
    <w:rsid w:val="00BA50E9"/>
    <w:rsid w:val="00BB44ED"/>
    <w:rsid w:val="00C32FDE"/>
    <w:rsid w:val="00D6102A"/>
    <w:rsid w:val="00E3328A"/>
    <w:rsid w:val="00F82EB5"/>
    <w:rsid w:val="00F84449"/>
    <w:rsid w:val="085E2967"/>
    <w:rsid w:val="0A7B20C8"/>
    <w:rsid w:val="0CA015A4"/>
    <w:rsid w:val="113F413B"/>
    <w:rsid w:val="132644DD"/>
    <w:rsid w:val="161F1AC2"/>
    <w:rsid w:val="1AC437A4"/>
    <w:rsid w:val="1AF9704E"/>
    <w:rsid w:val="1EF3360B"/>
    <w:rsid w:val="24A3206E"/>
    <w:rsid w:val="27CFF3AE"/>
    <w:rsid w:val="295B0549"/>
    <w:rsid w:val="2DDE22FC"/>
    <w:rsid w:val="2FF66117"/>
    <w:rsid w:val="3201082E"/>
    <w:rsid w:val="397D1A60"/>
    <w:rsid w:val="39FF2DA8"/>
    <w:rsid w:val="3DCA85DF"/>
    <w:rsid w:val="3EC26D84"/>
    <w:rsid w:val="3FBF1AC7"/>
    <w:rsid w:val="43964042"/>
    <w:rsid w:val="4E302750"/>
    <w:rsid w:val="4FFD488D"/>
    <w:rsid w:val="51300908"/>
    <w:rsid w:val="55FED436"/>
    <w:rsid w:val="5A700238"/>
    <w:rsid w:val="5DE5AED9"/>
    <w:rsid w:val="5DFD4F1E"/>
    <w:rsid w:val="5FF5AE5F"/>
    <w:rsid w:val="61FFB15D"/>
    <w:rsid w:val="62A8530C"/>
    <w:rsid w:val="647D6A4B"/>
    <w:rsid w:val="6DFBD363"/>
    <w:rsid w:val="6E6D6EC0"/>
    <w:rsid w:val="6F738292"/>
    <w:rsid w:val="72D37256"/>
    <w:rsid w:val="73BF8188"/>
    <w:rsid w:val="73F672D1"/>
    <w:rsid w:val="75E73CDF"/>
    <w:rsid w:val="76AB7BBF"/>
    <w:rsid w:val="77BB4EC4"/>
    <w:rsid w:val="77DD872C"/>
    <w:rsid w:val="77F56668"/>
    <w:rsid w:val="77FFE6BB"/>
    <w:rsid w:val="796B9911"/>
    <w:rsid w:val="7DB7D207"/>
    <w:rsid w:val="7DD824CA"/>
    <w:rsid w:val="7EB93D8B"/>
    <w:rsid w:val="7EEFE827"/>
    <w:rsid w:val="7EFB80DC"/>
    <w:rsid w:val="7EFD4029"/>
    <w:rsid w:val="7F3344CE"/>
    <w:rsid w:val="7FDF3FFA"/>
    <w:rsid w:val="7FFFF6AA"/>
    <w:rsid w:val="80FAB8E4"/>
    <w:rsid w:val="ADFD14D4"/>
    <w:rsid w:val="B2BEDDAD"/>
    <w:rsid w:val="B41BDB26"/>
    <w:rsid w:val="BF7711D1"/>
    <w:rsid w:val="BFF80BA2"/>
    <w:rsid w:val="CBFD1C02"/>
    <w:rsid w:val="CFB7405C"/>
    <w:rsid w:val="DCDF19E8"/>
    <w:rsid w:val="DFFEC2A3"/>
    <w:rsid w:val="ECAFCD37"/>
    <w:rsid w:val="EFBEA5EE"/>
    <w:rsid w:val="F66F51CD"/>
    <w:rsid w:val="F6B52084"/>
    <w:rsid w:val="F7FFC266"/>
    <w:rsid w:val="FDEBC4EA"/>
    <w:rsid w:val="FDFF99CB"/>
    <w:rsid w:val="FEFF3255"/>
    <w:rsid w:val="FF7F3912"/>
    <w:rsid w:val="FFB75A66"/>
    <w:rsid w:val="FFF66E56"/>
    <w:rsid w:val="FF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nhideWhenUsed/>
    <w:qFormat/>
    <w:uiPriority w:val="99"/>
    <w:pPr>
      <w:jc w:val="left"/>
    </w:p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1228</Words>
  <Characters>1534</Characters>
  <Lines>10</Lines>
  <Paragraphs>3</Paragraphs>
  <TotalTime>8</TotalTime>
  <ScaleCrop>false</ScaleCrop>
  <LinksUpToDate>false</LinksUpToDate>
  <CharactersWithSpaces>1545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2023-03-28T01:24:00Z</dcterms:created>
  <dc:creator>Administrator</dc:creator>
  <cp:lastModifiedBy>LtAo</cp:lastModifiedBy>
  <dcterms:modified xsi:type="dcterms:W3CDTF">2026-05-25T10:26:04Z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E1E6DE46287619F605259868F0B6E6C7_43</vt:lpwstr>
  </property>
  <property fmtid="{D5CDD505-2E9C-101B-9397-08002B2CF9AE}" pid="4" name="KSOTemplateDocerSaveRecord">
    <vt:lpwstr>eyJoZGlkIjoiZDZlNDhjMTM2Mzc3MGE2ZmY4OTM3NTUyZTFlMmFiODEiLCJ1c2VySWQiOiI2MzMzODI5NzYifQ==</vt:lpwstr>
  </property>
</Properties>
</file>