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MODELO DE BASE DE DATOS</w:t>
      </w:r>
    </w:p>
    <w:p>
      <w:pPr>
        <w:spacing w:after="4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Tracking OTD · Grupo Kaufmann</w:t>
      </w:r>
    </w:p>
    <w:p>
      <w:pPr>
        <w:spacing w:after="20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Esquema relacional PostgreSQL 15 — 22 entidades TypeORM</w:t>
      </w:r>
    </w:p>
    <w:p>
      <w:pPr>
        <w:spacing w:after="6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v1.0 · 13/3/2026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 Entidades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Migraciones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15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Diagrama de Relaciones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El modelo de datos se organiza en 6 dominios funcionales interconectados. A continuación se presenta la estructura lógica de relaciones entre las entidades principales.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Negocio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empresa, cliente, ficha, vin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Jerarquía principal: Empresa → Cliente → Ficha → VIN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Catálogo Hitos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hito, subetapa, grupo_paralelo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Catálogo maestro de los 9 hitos y 21 subetapas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por Tipo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tipo_vehiculo, hito_tipo_vehiculo, subetapa_tipo_vehiculo, subetapa_config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 personalizada por tipo de vehículo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vin_hito_tracking, vin_subetapa_tracking, staging_vin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Seguimiento de fechas plan/real por VIN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&amp; Alertas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sla_config, alerta, alerta_accion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Reglas SLA dimensionales y alertas automáticas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Colaboración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chat, mensaje, mensaje_etiqueta, notificacion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Mensajería contextual por ficha/VIN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usuario, usuario_empresa (join table)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Usuarios Azure AD con asignación multi-empresa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Entidades — Core Negocio</w:t>
      </w:r>
    </w:p>
    <w:p>
      <w:pPr>
        <w:spacing w:after="200"/>
      </w:pPr>
    </w:p>
    <w:p>
      <w:pPr>
        <w:pStyle w:val="Heading2"/>
      </w:pPr>
      <w:r>
        <w:t xml:space="preserve">2.1 empresa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Empresa del Grupo Kaufmann. Valores actuales: Divemotor, Andes Motor, Andes Maq.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display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UNIQUE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Relaciones: M:N con usuario via usuario_empresa. 1:N con cliente.</w:t>
      </w:r>
    </w:p>
    <w:p>
      <w:pPr>
        <w:spacing w:after="200"/>
      </w:pPr>
    </w:p>
    <w:p>
      <w:pPr>
        <w:pStyle w:val="Heading2"/>
      </w:pPr>
      <w:r>
        <w:t xml:space="preserve">2.2 cliente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Cliente final con fichas de venta.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empresa_id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empresa.id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RUC tributario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is_vic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Important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2.3 ficha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Ficha de venta que agrupa VINs de un cliente.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cliente.id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SAP de la ficha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forma_pago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Renting|Financiamiento|BK|Leasing|Contado|Otros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fecha_creacion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Ejecutivo responsable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2.4 vin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Vehículo individual identificado por su VIN (Vehicle Identification Number).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 del vehículo (17 caracteres)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ficha_id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ficha.id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 del vehículo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tipo_vehiculo_id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tipo_vehiculo.id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ultima_actualizacion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sync desde staging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Entidades — Catálogo de Hitos</w:t>
      </w:r>
    </w:p>
    <w:p>
      <w:pPr>
        <w:spacing w:after="200"/>
      </w:pPr>
    </w:p>
    <w:p>
      <w:pPr>
        <w:pStyle w:val="Heading2"/>
      </w:pPr>
      <w:r>
        <w:t xml:space="preserve">3.1 hito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Hito maestro del proceso de tracking. 9 hitos definidos: importación, asignación, PDI, crédito, facturación, pago, inmatriculación, programación,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display del hito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"financiero" | "operativo"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Relaciones: 1:N con subetapa, 1:N con hito_tipo_vehiculo, 1:N con vin_hito_tracking.</w:t>
      </w:r>
    </w:p>
    <w:p>
      <w:pPr>
        <w:spacing w:after="200"/>
      </w:pPr>
    </w:p>
    <w:p>
      <w:pPr>
        <w:pStyle w:val="Heading2"/>
      </w:pPr>
      <w:r>
        <w:t xml:space="preserve">3.2 subetapa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Subetapa dentro de un hito. 21 subetapas base + 1 especial para buses.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hito.id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display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 | LOGISTICA | COMERCIAL | TALLER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campo_staging_vin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Columna de staging_vin que mapea a esta subetapa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campo_staging_vin es null para las 5 subetapas GAP manual (editadas manualmente por el usuario).</w:t>
      </w:r>
    </w:p>
    <w:p>
      <w:pPr>
        <w:spacing w:after="200"/>
      </w:pPr>
    </w:p>
    <w:p>
      <w:pPr>
        <w:pStyle w:val="Heading2"/>
      </w:pPr>
      <w:r>
        <w:t xml:space="preserve">3.3 grupo_paralelo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Agrupación de hitos que se ejecutan simultáneamente. Se crean on-demand y se eliminan automáticamente cuando quedan vacíos.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descriptivo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 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Entidades — Configuración por Tipo de Vehículo</w:t>
      </w:r>
    </w:p>
    <w:p>
      <w:pPr>
        <w:spacing w:after="200"/>
      </w:pPr>
    </w:p>
    <w:p>
      <w:pPr>
        <w:pStyle w:val="Heading2"/>
      </w:pPr>
      <w:r>
        <w:t xml:space="preserve">4.1 tipo_vehiculo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Tipo de vehículo del catálogo. 4 tipos: Camión (id=1), Bus (id=2), Maquinaria (id=3), Vehículo Ligero (id=4).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UNIQUE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display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UNIQUE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URL-safe: camion, bus, maquinaria, vehiculo_ligero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Hex para UI: #2E75B6, #7C3AED, #EA580C, #0EA5E9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Default: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4.2 hito_tipo_vehiculo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Configuración de un hito para un tipo de vehículo específico. UNIQUE(hito_id, tipo_vehiculo_id).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hito.id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tipo_vehiculo_id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tipo_vehiculo.id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grupo_paralelo_id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grupo_paralelo.id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"financiero" | "operativo"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Posición visual dentro del tipo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Default: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4.3 subetapa_tipo_vehiculo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Configuración de una subetapa para un tipo de vehículo. UNIQUE(subetapa_id, tipo_vehiculo_id).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subetapa.id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tipo_vehiculo_id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tipo_vehiculo.id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Posición dentro del hito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Default: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4.4 subetapa_config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Configuración adicional de subetapa por marca/segmento/tipo_vehiculo.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subetapa.id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 por marca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 por segmento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tipo_vehiculo_id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tipo_vehiculo.id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Entidades — Tracking</w:t>
      </w:r>
    </w:p>
    <w:p>
      <w:pPr>
        <w:spacing w:after="200"/>
      </w:pPr>
    </w:p>
    <w:p>
      <w:pPr>
        <w:pStyle w:val="Heading2"/>
      </w:pPr>
      <w:r>
        <w:t xml:space="preserve">5.1 vin_hito_tracking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Registro de tracking a nivel de hito para un VIN específico.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vin.id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hito.id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fecha_plan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 planificada del hito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NOTA: Los campos estado, diferencia_dias y fecha_real son CALCULADOS en runtime por TrackingService.buildStages(), nunca persistidos.</w:t>
      </w:r>
    </w:p>
    <w:p>
      <w:pPr>
        <w:spacing w:after="200"/>
      </w:pPr>
    </w:p>
    <w:p>
      <w:pPr>
        <w:pStyle w:val="Heading2"/>
      </w:pPr>
      <w:r>
        <w:t xml:space="preserve">5.2 vin_subetapa_tracking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Registro de tracking a nivel de subetapa para un VIN. Incluye fecha_real para GAPs manuales.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vin.id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subetapa.id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fecha_plan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 planificada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fecha_real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 real (para GAPs manuales y sync staging)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5.3 staging_vin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Tabla de staging que almacena los datos importados desde Excel (PROPED y SAP). Fuente de verdad para las fechas reales del tracking.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PROPED prevalece sobre SAP para: etd, eta, fecha_llegada_aduana. SAP prevalece para: facturación, preasignación, asignación.</w:t>
      </w:r>
    </w:p>
    <w:p>
      <w:pPr>
        <w:spacing w:after="200"/>
      </w:pPr>
    </w:p>
    <w:p>
      <w:pPr>
        <w:pStyle w:val="Heading3"/>
      </w:pPr>
      <w:r>
        <w:t xml:space="preserve">Campos de identificación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PK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VIN — clave primaria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lote_asignado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Lote asignado al VIN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id_ficha_sap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de ficha en SAP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pedido_interno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interno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pedido_externo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externo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pedido_venta_sap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de venta SAP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linea_negocio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Línea de negocio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Clase de vehículo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modelo_comercial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comercial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modelo_facturacion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de facturación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SKU del vehículo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matricula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Matrícula/placa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Campos de cliente y vendedor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cod_cliente_sap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cliente en SAP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nombre_cliente_sap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del cliente en SAP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cliente_comex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COMEX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cod_vendedor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del vendedor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nombre_vendedor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del vendedor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estado_comex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COMEX del VIN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estado_ficha_sap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de ficha en SAP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status_compra_sap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de compra en SAP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Campos de fechas (mapeo a subetapas)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Mapea a subetapa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fecha_colocacion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imp-1 Solicitud negocio / imp-2 Pedido fábrica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fecha_liberacion_fabrica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imp-3 Producción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fecha_recojo_carr_zcar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Recojo carrocero (aux)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fecha_ingreso_prod_carr_planif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pdi-1 Inicio PDI (planificado)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fecha_ingreso_prod_carr_real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pdi-1 Inicio PDI (real)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fecha_lib_prod_carr_planif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 planificado aux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fecha_fin_prod_carr_real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imp-bus-1 Carrocero Internacional / pdi-2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imp-4 Embarque (PROPED prevails)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fecha_embarque_sap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imp-4 Embarque (SAP fallback)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fecha_llegada_aduana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imp-5 En aduana (PROPED prevails)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fecha_llegada_sap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Llegada SAP (aux)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ETA estimado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fecha_aduana_sap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imp-5 En aduana (SAP fallback)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fecha_nacion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Nacionalización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fecha_ingreso_patio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imp-6 En almacén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fecha_liberado_sap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pdi-3 Salida PDI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fecha_preasignacion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asg-1 Reserva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fecha_asignacion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asg-2 Asig. Definitiva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fecha_facturacion_sap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fac-1 Emisión Factura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inm-1 Inicio trámite (proxy)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FCR auxiliar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FCL auxiliar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fclr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inm-2 Placas recibidas (proxy)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fecha_entrega_planificada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 planificada (baseline)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fecha_entrega_real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 real (aux)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fecha_entrega_cliente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ent-1 Entregado al Cliente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Campos de precios y sync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precio_confirmado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decimal(15,2)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 confirmado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precio_venta_pv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decimal(15,2)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 de venta PV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precio_lista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decimal(15,2)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Precio de lista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fuente_ultima_sync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Fuente del último upsert (SAP/PROPED)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fecha_sync_sap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sync desde SAP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fecha_sync_comex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sync desde PROPED/COMEX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observaciones_comex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 de COMEX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Entidades — SLA y Alertas</w:t>
      </w:r>
    </w:p>
    <w:p>
      <w:pPr>
        <w:spacing w:after="200"/>
      </w:pPr>
    </w:p>
    <w:p>
      <w:pPr>
        <w:pStyle w:val="Heading2"/>
      </w:pPr>
      <w:r>
        <w:t xml:space="preserve">6.1 sla_config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Configuración de SLA con dimensiones opcionales. Score = count(dimensiones NOT NULL). Mayor score = más específico = mayor prioridad. dias_critico = diasObjetivo + diasTolerancia (CALCULADO, nunca persistido).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empresa_id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Dimensión empresa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Dimensión subetapa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tipo_vehiculo_id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Dimensión tipo vehículo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dias_objetivo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Días objetivo (umbral advertencia)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dias_tolerancia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Tolerancia adicional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6.2 alerta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Alerta generada automáticamente por el scheduler (@Cron cada 6h) cuando un SLA es excedido.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vin.id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hito.id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usuario_responsable_id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usuario.id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"critico" | "advertencia"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dias_demora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Días de demora detectados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estado_alerta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"action_required" | "read" | "resolved"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fecha_generacion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Fecha/hora de generación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6.3 alerta_accion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Acción registrada sobre una alerta (auditoría).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alerta.id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usuario_accion_id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usuario.id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accion_tomada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 de la acción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fecha_accion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Fecha/hora de la acción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adicionales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Entidades — Colaboración (Chat)</w:t>
      </w:r>
    </w:p>
    <w:p>
      <w:pPr>
        <w:spacing w:after="200"/>
      </w:pPr>
    </w:p>
    <w:p>
      <w:pPr>
        <w:pStyle w:val="Heading2"/>
      </w:pPr>
      <w:r>
        <w:t xml:space="preserve">7.1 chat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Chat contextual asociado a una ficha O un VIN (constraint XOR — nunca ambos).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de chat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ficha_id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ficha.id (XOR con vin_id)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vin.id (XOR con ficha_id)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7.2 mensaje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chat.id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usuario_autor_id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usuario.id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contenido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Contenido del mensaje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fecha_hora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Fecha/hora del envío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7.3 mensaje_etiqueta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Mención (@usuario) dentro de un mensaje.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mensaje_id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mensaje.id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usuario_etiquetado_id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usuario.id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7.4 notificacion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usuario_destino_id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usuario.id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mensaje_id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FK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mensaje.id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Canal de envío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url_redireccion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para abrir en la 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fecha_envio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 de envío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estado_envio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"pendiente" | "enviado" | "fallido"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Entidades — Autenticación</w:t>
      </w:r>
    </w:p>
    <w:p>
      <w:pPr>
        <w:spacing w:after="200"/>
      </w:pPr>
    </w:p>
    <w:p>
      <w:pPr>
        <w:pStyle w:val="Heading2"/>
      </w:pPr>
      <w:r>
        <w:t xml:space="preserve">8.1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PK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Auto-increment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azure_ad_oid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UNIQUE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OID de Azure 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completo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 UNIQUE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corporativo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"administrador" | "supervisor" | "asesor_comercial"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el usuario está habilitado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Relaciones: M:N con empresa via usuario_empresa (join table con usuario_id + empresa_id).</w:t>
      </w:r>
    </w:p>
    <w:p>
      <w:pPr>
        <w:spacing w:after="200"/>
      </w:pPr>
    </w:p>
    <w:p>
      <w:pPr>
        <w:pStyle w:val="Heading1"/>
      </w:pPr>
      <w:r>
        <w:t xml:space="preserve">9. Historial de Migraciones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Las migraciones son la fuente de verdad del esquema. Se ejecutan con TypeORM CLI.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Timestamp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1773331009244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InitialSchema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inicial con todas las tablas base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1773400000000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UsuarioEmpresaAndSeed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Tabla usuario, usuario_empresa, seed empresas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1773500000000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SeedHitosSubetapas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 de 9 hitos y 21 subetapas con campo_staging_vin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1773600000000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HitoSubetapaPorTipoVehiculo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Tablas hito_tipo_vehiculo y subetapa_tipo_vehiculo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1773700000000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AddCarrilToHitoTipoVehiculo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Columna carril en hito_tipo_vehiculo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1773800000000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AllHitosToSingleGroup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Migración de hitos a grupo único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1773900000000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ResetHitoConfigPorTipo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de configuración por tipo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1774000000000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SeedTrackingDemoData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Datos demo de tracking para 9 VINs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1774100000000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DeduplicateVinStagingFields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Deduplicación de campos staging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1774200000000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UnifyTipoVehiculoEntity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Unificación tipo_vehiculo string→FK integer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10. Reglas de Integridad</w:t>
      </w:r>
    </w:p>
    <w:p>
      <w:pPr>
        <w:spacing w:after="2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NUNCA persistir campos calculados: diferencia_dias, dias_critico, estado_general, cumplimiento.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staging_vin es fuente de verdad para fechas reales. PROPED prevalece sobre SAP para ETD/ETA/aduana.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Chat: constraint XOR — ficha_id OR vin_id, nunca ambos.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SLA resolve: score por count(dimensiones NOT NULL). Mayor score = mayor prioridad.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Grupos paralelos: on-demand creation, auto-delete cuando vacíos.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Todas las operaciones de config son scoped por tipo de vehículo.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NUNCA usar synchronize: true en TypeORM — siempre migraciones.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420"/>
    </w:pPr>
    <w:rPr>
      <w:rFonts w:ascii="Arial" w:cs="Arial" w:eastAsia="Arial" w:hAnsi="Arial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60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2026-03-13T22:47:07.256Z</dcterms:created>
  <dcterms:modified xsi:type="dcterms:W3CDTF">2026-03-13T22:47:07.256Z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