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000"/>
      </w:pP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E3A5F"/>
          <w:sz w:val="56"/>
          <w:szCs w:val="56"/>
        </w:rPr>
        <w:t xml:space="preserve">FRONTEND</w:t>
      </w:r>
    </w:p>
    <w:p>
      <w:pPr>
        <w:spacing w:after="400"/>
        <w:jc w:val="center"/>
      </w:pPr>
      <w:r>
        <w:rPr>
          <w:rFonts w:ascii="Arial" w:cs="Arial" w:eastAsia="Arial" w:hAnsi="Arial"/>
          <w:color w:val="2E75B6"/>
          <w:sz w:val="32"/>
          <w:szCs w:val="32"/>
        </w:rPr>
        <w:t xml:space="preserve">Tracking OTD · Grupo Kaufmann</w:t>
      </w:r>
    </w:p>
    <w:p>
      <w:pPr>
        <w:spacing w:after="200"/>
        <w:jc w:val="center"/>
      </w:pPr>
      <w:r>
        <w:rPr>
          <w:rFonts w:ascii="Arial" w:cs="Arial" w:eastAsia="Arial" w:hAnsi="Arial"/>
          <w:color w:val="6B7280"/>
          <w:sz w:val="24"/>
          <w:szCs w:val="24"/>
        </w:rPr>
        <w:t xml:space="preserve">Angular 21 + Nx 20 + NgRx Signal Store + TailwindCSS</w:t>
      </w:r>
    </w:p>
    <w:p>
      <w:pPr>
        <w:spacing w:after="600"/>
        <w:jc w:val="center"/>
      </w:pPr>
      <w:r>
        <w:rPr>
          <w:rFonts w:ascii="Arial" w:cs="Arial" w:eastAsia="Arial" w:hAnsi="Arial"/>
          <w:color w:val="6B7280"/>
          <w:sz w:val="22"/>
          <w:szCs w:val="22"/>
        </w:rPr>
        <w:t xml:space="preserve">v1.0 · 13/3/2026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BEA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12 Librerías Nx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9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19 Componentes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1FAE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7 Modelos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3C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2 Stores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1. Modelos de Datos</w:t>
      </w:r>
    </w:p>
    <w:p>
      <w:pPr>
        <w:spacing w:after="120"/>
      </w:pPr>
      <w:r>
        <w:rPr>
          <w:rFonts w:ascii="Arial" w:cs="Arial" w:eastAsia="Arial" w:hAnsi="Arial"/>
          <w:sz w:val="24"/>
          <w:szCs w:val="24"/>
        </w:rPr>
        <w:t xml:space="preserve">Interfaces TypeScript definidas en libs/shared/models/. Constituyen el contrato con el backend.</w:t>
      </w:r>
    </w:p>
    <w:p>
      <w:pPr>
        <w:spacing w:after="200"/>
      </w:pPr>
    </w:p>
    <w:p>
      <w:pPr>
        <w:pStyle w:val="Heading2"/>
      </w:pPr>
      <w:r>
        <w:t xml:space="preserve">1.1 HitoTracking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2360"/>
        <w:gridCol w:w="30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Tipo TS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Notas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Identificador del hito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importacion, asignacion, pdi, etc.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name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Nombre display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"Importación", "PDI"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carril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CarrilHito?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Carril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"financiero" | "operativo"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status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EstadoHito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Estado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pending | active | completed | delayed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isParallel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boolean?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Paralelo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true para hitos en ejecución simultánea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grupoParaleloId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number | null?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Grupo paralelo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FK a grupo_paralelo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baseline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DateSet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Fechas base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{ start, end } | null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plan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DateSet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Fechas SLA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{ start, end } | null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real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DateSet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Fechas reales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{ start, end } | null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subStages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SubetapaTracking[]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Subetapas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Array de 1 a 7</w:t>
            </w:r>
          </w:p>
        </w:tc>
      </w:tr>
    </w:tbl>
    <w:p>
      <w:pPr>
        <w:spacing w:after="200"/>
      </w:pPr>
    </w:p>
    <w:p>
      <w:pPr>
        <w:pStyle w:val="Heading2"/>
      </w:pPr>
      <w:r>
        <w:t xml:space="preserve">1.2 SubetapaTracking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500"/>
        <w:gridCol w:w="436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Tipo TS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 subetapa (ej: "imp-1")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name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Nombre (ej: "Embarque")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category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CategoriaSubetapa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COMEX | LOGISTICA | COMERCIAL | TALLER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baseline/plan/real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DateSet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{ start, end } para cada nivel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status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pending | active | completed</w:t>
            </w:r>
          </w:p>
        </w:tc>
      </w:tr>
    </w:tbl>
    <w:p>
      <w:pPr>
        <w:spacing w:after="200"/>
      </w:pPr>
    </w:p>
    <w:p>
      <w:pPr>
        <w:pStyle w:val="Heading2"/>
      </w:pPr>
      <w:r>
        <w:t xml:space="preserve">1.3 VinModel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500"/>
        <w:gridCol w:w="436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Tipo TS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Número VIN (PK)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fichaId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FK a FichaModel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clientName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Nombre del cliente (desnormalizado)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tipoVehiculo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TipoVehiculoModel?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Tipo con id, nombre, slug, color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modelo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Modelo comercial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estadoGeneral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EstadoVin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"A TIEMPO" | "DEMORADO" | "FINALIZADO"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currentStageId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Hito en progreso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daysDelayed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number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Días de retraso (calculado)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stages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HitoTracking[]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Árbol de 9 hitos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cumplimiento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number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Porcentaje 0-100 (calculado)</w:t>
            </w:r>
          </w:p>
        </w:tc>
      </w:tr>
    </w:tbl>
    <w:p>
      <w:pPr>
        <w:spacing w:after="200"/>
      </w:pPr>
    </w:p>
    <w:p>
      <w:pPr>
        <w:pStyle w:val="Heading2"/>
      </w:pPr>
      <w:r>
        <w:t xml:space="preserve">1.4 Otros Modelos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4360"/>
        <w:gridCol w:w="250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Modelo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Campos Principales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Uso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TipoVehiculoModel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id, nombre, slug, color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Catálogo de 4 tipos de vehículo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FichaModel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id, clientId, clientName, dateCreated, executive, formaPago, vins[]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Ficha de venta con VINs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ClienteModel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id, name, isVic, empresa, fichas[]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Cliente con fichas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AlertaModel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id, vinId, stageName, delayDays, severity, nivel, status, timestamp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Alerta por SLA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SlaConfigModel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id, empresaId, subetapaId, tipoVehiculoId, diasObjetivo, diasTolerancia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Regla SLA dimensional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SubetapaConfigModel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id, hitoId, name, categoria, orden, activo, diasObjetivo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Config subetapa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2. Stores (Estado Global)</w:t>
      </w:r>
    </w:p>
    <w:p>
      <w:pPr>
        <w:spacing w:after="120"/>
      </w:pPr>
      <w:r>
        <w:rPr>
          <w:rFonts w:ascii="Arial" w:cs="Arial" w:eastAsia="Arial" w:hAnsi="Arial"/>
          <w:sz w:val="24"/>
          <w:szCs w:val="24"/>
        </w:rPr>
        <w:t xml:space="preserve">NgRx Signal Store (@ngrx/signals) con reactividad basada en signals de Angular.</w:t>
      </w:r>
    </w:p>
    <w:p>
      <w:pPr>
        <w:spacing w:after="200"/>
      </w:pPr>
    </w:p>
    <w:p>
      <w:pPr>
        <w:pStyle w:val="Heading2"/>
      </w:pPr>
      <w:r>
        <w:t xml:space="preserve">2.1 TrackingStore</w:t>
      </w:r>
    </w:p>
    <w:p>
      <w:pPr>
        <w:spacing w:after="120"/>
      </w:pPr>
      <w:r>
        <w:rPr>
          <w:rFonts w:ascii="Arial" w:cs="Arial" w:eastAsia="Arial" w:hAnsi="Arial"/>
          <w:sz w:val="24"/>
          <w:szCs w:val="24"/>
        </w:rPr>
        <w:t xml:space="preserve">Store principal. Gestiona VINs, filtros, selección y modo de vista.</w:t>
      </w:r>
    </w:p>
    <w:p>
      <w:pPr>
        <w:spacing w:after="200"/>
      </w:pPr>
    </w:p>
    <w:p>
      <w:pPr>
        <w:pStyle w:val="Heading3"/>
      </w:pPr>
      <w:r>
        <w:t xml:space="preserve">State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500"/>
        <w:gridCol w:w="436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Valor Inicial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clientes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ClienteModel[]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[]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vins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VinModel[]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[]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loading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boolean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false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error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 | null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null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filtros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FiltrosTracking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{ tipoVehiculoId: null, estado: null, hitoActual: null, busqueda: "" }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selectedVinId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 | null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null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drawerOpen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boolean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false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selectedStageId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 | null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null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viewMode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"grouped" | "list"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"grouped"</w:t>
            </w:r>
          </w:p>
        </w:tc>
      </w:tr>
    </w:tbl>
    <w:p>
      <w:pPr>
        <w:spacing w:after="200"/>
      </w:pPr>
    </w:p>
    <w:p>
      <w:pPr>
        <w:pStyle w:val="Heading3"/>
      </w:pPr>
      <w:r>
        <w:t xml:space="preserve">Computed Signals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4360"/>
        <w:gridCol w:w="250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Signal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Lógica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Uso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vinsFiltrados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Filtra por estado, tipoVehiculoId, empresa, búsqueda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Lista principal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clientesFiltrados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Filtra jerarquía clientes→fichas→vins preservando estructura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Vista agrupada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totalDemorados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count(estadoGeneral === "DEMORADO")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KPI card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totalActivos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count(estadoGeneral !== "FINALIZADO")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KPI card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totalFinalizados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count(estadoGeneral === "FINALIZADO")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KPI card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selectedVin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vins().find(v.id === selectedVinId())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Drawer + visual map</w:t>
            </w:r>
          </w:p>
        </w:tc>
      </w:tr>
    </w:tbl>
    <w:p>
      <w:pPr>
        <w:spacing w:after="200"/>
      </w:pPr>
    </w:p>
    <w:p>
      <w:pPr>
        <w:pStyle w:val="Heading3"/>
      </w:pPr>
      <w:r>
        <w:t xml:space="preserve">Métodos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5860"/>
      </w:tblGrid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Método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Efecto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loadClientes()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GET /v1/tracking/clientes → patchState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openDrawer(vinId, stageId?)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Selecciona VIN, abre drawer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closeDrawer()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Cierra drawer, limpia selección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setFiltro(key, value)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Actualiza un filtro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clearFiltros()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Reset filtros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toggleViewMode()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Alterna grouped ↔ list</w:t>
            </w:r>
          </w:p>
        </w:tc>
      </w:tr>
    </w:tbl>
    <w:p>
      <w:pPr>
        <w:spacing w:after="200"/>
      </w:pPr>
    </w:p>
    <w:p>
      <w:pPr>
        <w:pStyle w:val="Heading2"/>
      </w:pPr>
      <w:r>
        <w:t xml:space="preserve">2.2 AlertasStore</w:t>
      </w:r>
    </w:p>
    <w:p>
      <w:pPr>
        <w:pStyle w:val="Heading3"/>
      </w:pPr>
      <w:r>
        <w:t xml:space="preserve">State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500"/>
        <w:gridCol w:w="436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Valor Inicial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alertas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AlertaModel[]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MOCK_ALERTAS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filtroSeveridad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SeveridadAlerta | null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null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filtroEstado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EstadoAlerta | null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null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filtroArea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 | null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null</w:t>
            </w:r>
          </w:p>
        </w:tc>
      </w:tr>
    </w:tbl>
    <w:p>
      <w:pPr>
        <w:spacing w:after="200"/>
      </w:pPr>
    </w:p>
    <w:p>
      <w:pPr>
        <w:pStyle w:val="Heading3"/>
      </w:pPr>
      <w:r>
        <w:t xml:space="preserve">Computed: alertasFiltradas, totalCriticas, totalAdvertencias, totalResueltas</w:t>
      </w:r>
    </w:p>
    <w:p>
      <w:pPr>
        <w:pStyle w:val="Heading3"/>
      </w:pPr>
      <w:r>
        <w:t xml:space="preserve">Métodos: updateStatus(id, status), setFiltro(key, value)</w:t>
      </w:r>
    </w:p>
    <w:p>
      <w:r>
        <w:br w:type="page"/>
      </w:r>
    </w:p>
    <w:p>
      <w:pPr>
        <w:pStyle w:val="Heading1"/>
      </w:pPr>
      <w:r>
        <w:t xml:space="preserve">3. Componentes por Feature</w:t>
      </w:r>
    </w:p>
    <w:p>
      <w:pPr>
        <w:spacing w:after="200"/>
      </w:pPr>
    </w:p>
    <w:p>
      <w:pPr>
        <w:pStyle w:val="Heading2"/>
      </w:pPr>
      <w:r>
        <w:t xml:space="preserve">3.1 Feature: VIN Tracking</w:t>
      </w:r>
    </w:p>
    <w:p>
      <w:pPr>
        <w:spacing w:after="200"/>
      </w:pPr>
    </w:p>
    <w:p>
      <w:pPr>
        <w:pStyle w:val="Heading3"/>
      </w:pPr>
      <w:r>
        <w:t xml:space="preserve">TrackingListPageComponent (kf-tracking-list-page)</w:t>
      </w:r>
    </w:p>
    <w:p>
      <w:pPr>
        <w:spacing w:after="120"/>
      </w:pPr>
      <w:r>
        <w:rPr>
          <w:rFonts w:ascii="Arial" w:cs="Arial" w:eastAsia="Arial" w:hAnsi="Arial"/>
          <w:sz w:val="24"/>
          <w:szCs w:val="24"/>
        </w:rPr>
        <w:t xml:space="preserve">Smart component principal. Lista VINs con búsqueda, filtros, vista agrupada/lista, visual map y drawer.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500"/>
        <w:gridCol w:w="436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Signal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store (inject)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TrackingStore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Store inyectado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searchValue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signal&lt;string&gt;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Valor del buscador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activeVisualMapVin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signal&lt;VinModel | null&gt;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VIN activo en visual map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expandedClientes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signal&lt;Set&lt;string&gt;&gt;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Clientes expandidos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expandedFichas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signal&lt;Set&lt;string&gt;&gt;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Fichas expandidas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4"/>
          <w:szCs w:val="24"/>
        </w:rPr>
        <w:t xml:space="preserve">Flujo: Click VIN → Visual Map → Click hito → Drawer → Botón Volver → Lista.</w:t>
      </w:r>
    </w:p>
    <w:p>
      <w:pPr>
        <w:spacing w:after="200"/>
      </w:pPr>
    </w:p>
    <w:p>
      <w:pPr>
        <w:pStyle w:val="Heading3"/>
      </w:pPr>
      <w:r>
        <w:t xml:space="preserve">VisualMapComponent (kf-visual-map)</w:t>
      </w:r>
    </w:p>
    <w:p>
      <w:pPr>
        <w:spacing w:after="120"/>
      </w:pPr>
      <w:r>
        <w:rPr>
          <w:rFonts w:ascii="Arial" w:cs="Arial" w:eastAsia="Arial" w:hAnsi="Arial"/>
          <w:sz w:val="24"/>
          <w:szCs w:val="24"/>
        </w:rPr>
        <w:t xml:space="preserve">Mapa visual swimlane: dos carriles (financiero azul, operativo ámbar). Hitos como nodos circulares.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500"/>
        <w:gridCol w:w="436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Input / Output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vin (input.required)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VinModel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VIN con stages completos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nodeClick (output)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EventEmitter&lt;string&gt;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Emite hitoId al click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4"/>
          <w:szCs w:val="24"/>
        </w:rPr>
        <w:t xml:space="preserve">Computed: mainFlow (financiero secuencial), parallelFlow (operativo). Colores: emerald=completed, blue=active, red=delayed, slate=pending.</w:t>
      </w:r>
    </w:p>
    <w:p>
      <w:pPr>
        <w:spacing w:after="200"/>
      </w:pPr>
    </w:p>
    <w:p>
      <w:pPr>
        <w:pStyle w:val="Heading3"/>
      </w:pPr>
      <w:r>
        <w:t xml:space="preserve">TrackingDrawerComponent (kf-tracking-drawer)</w:t>
      </w:r>
    </w:p>
    <w:p>
      <w:pPr>
        <w:spacing w:after="120"/>
      </w:pPr>
      <w:r>
        <w:rPr>
          <w:rFonts w:ascii="Arial" w:cs="Arial" w:eastAsia="Arial" w:hAnsi="Arial"/>
          <w:sz w:val="24"/>
          <w:szCs w:val="24"/>
        </w:rPr>
        <w:t xml:space="preserve">Panel lateral con detalle de hito o acordeón de todos los hitos del VIN.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500"/>
        <w:gridCol w:w="436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Input / Output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vin (input.required)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VinModel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VIN con stages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selectedStageId (input)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signal&lt;string | null&gt;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Hito seleccionado desde visual map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close (output)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EventEmitter&lt;void&gt;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Emite al cerrar</w:t>
            </w:r>
          </w:p>
        </w:tc>
      </w:tr>
    </w:tbl>
    <w:p>
      <w:pPr>
        <w:spacing w:after="200"/>
      </w:pPr>
    </w:p>
    <w:p>
      <w:pPr>
        <w:pStyle w:val="Heading3"/>
      </w:pPr>
      <w:r>
        <w:t xml:space="preserve">GanttViewComponent (kf-gantt-view)</w:t>
      </w:r>
    </w:p>
    <w:p>
      <w:pPr>
        <w:spacing w:after="120"/>
      </w:pPr>
      <w:r>
        <w:rPr>
          <w:rFonts w:ascii="Arial" w:cs="Arial" w:eastAsia="Arial" w:hAnsi="Arial"/>
          <w:sz w:val="24"/>
          <w:szCs w:val="24"/>
        </w:rPr>
        <w:t xml:space="preserve">Vista Gantt alternativa del tracking. Input: vin (input.required): VinModel.</w:t>
      </w:r>
    </w:p>
    <w:p>
      <w:pPr>
        <w:spacing w:after="200"/>
      </w:pPr>
    </w:p>
    <w:p>
      <w:pPr>
        <w:pStyle w:val="Heading2"/>
      </w:pPr>
      <w:r>
        <w:t xml:space="preserve">3.2 Feature: Admin</w:t>
      </w:r>
    </w:p>
    <w:p>
      <w:pPr>
        <w:spacing w:after="200"/>
      </w:pPr>
    </w:p>
    <w:p>
      <w:pPr>
        <w:pStyle w:val="Heading3"/>
      </w:pPr>
      <w:r>
        <w:t xml:space="preserve">AdminPageComponent (kf-admin-page)</w:t>
      </w:r>
    </w:p>
    <w:p>
      <w:pPr>
        <w:spacing w:after="120"/>
      </w:pPr>
      <w:r>
        <w:rPr>
          <w:rFonts w:ascii="Arial" w:cs="Arial" w:eastAsia="Arial" w:hAnsi="Arial"/>
          <w:sz w:val="24"/>
          <w:szCs w:val="24"/>
        </w:rPr>
        <w:t xml:space="preserve">4 tabs: Tipos de Vehículo, Hitos y Subetapas, Config por Tipo, SLA.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500"/>
        <w:gridCol w:w="436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Signal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activeTab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signal&lt;string&gt;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Tab activo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tiposVehiculo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signal&lt;TipoVehiculo[]&gt;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Lista tipos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hitosMaster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signal&lt;HitoMaster[]&gt;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Hitos con subetapas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selectedTipoSlug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signal&lt;string&gt;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Tipo seleccionado para config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hitoConfigs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signal&lt;HitoConfig[]&gt;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Config hitos por tipo</w:t>
            </w:r>
          </w:p>
        </w:tc>
      </w:tr>
    </w:tbl>
    <w:p>
      <w:pPr>
        <w:spacing w:after="200"/>
      </w:pPr>
    </w:p>
    <w:p>
      <w:pPr>
        <w:pStyle w:val="Heading3"/>
      </w:pPr>
      <w:r>
        <w:t xml:space="preserve">HitoConfigSwimlaneComponent (kf-hito-config-swimlane)</w:t>
      </w:r>
    </w:p>
    <w:p>
      <w:pPr>
        <w:spacing w:after="120"/>
      </w:pPr>
      <w:r>
        <w:rPr>
          <w:rFonts w:ascii="Arial" w:cs="Arial" w:eastAsia="Arial" w:hAnsi="Arial"/>
          <w:sz w:val="24"/>
          <w:szCs w:val="24"/>
        </w:rPr>
        <w:t xml:space="preserve">Editor visual swimlane: 2 carriles (financiero azul, operativo ámbar). Hitos agrupados por grupo paralelo. Drag-and-drop para reordenar. Grupo virtual trailing (id=0) para crear nuevos grupos on-demand.</w:t>
      </w:r>
    </w:p>
    <w:p>
      <w:pPr>
        <w:spacing w:after="200"/>
      </w:pPr>
    </w:p>
    <w:p>
      <w:pPr>
        <w:pStyle w:val="Heading3"/>
      </w:pPr>
      <w:r>
        <w:t xml:space="preserve">ProcessPreviewComponent (kf-process-preview)</w:t>
      </w:r>
    </w:p>
    <w:p>
      <w:pPr>
        <w:spacing w:after="120"/>
      </w:pPr>
      <w:r>
        <w:rPr>
          <w:rFonts w:ascii="Arial" w:cs="Arial" w:eastAsia="Arial" w:hAnsi="Arial"/>
          <w:sz w:val="24"/>
          <w:szCs w:val="24"/>
        </w:rPr>
        <w:t xml:space="preserve">Vista previa del proceso configurado. Solo muestra hitos y subetapas activos. Separadores verticales dashed entre grupos. Flechas entre hitos del mismo carril/grupo.</w:t>
      </w:r>
    </w:p>
    <w:p>
      <w:pPr>
        <w:spacing w:after="200"/>
      </w:pPr>
    </w:p>
    <w:p>
      <w:pPr>
        <w:pStyle w:val="Heading2"/>
      </w:pPr>
      <w:r>
        <w:t xml:space="preserve">3.3 Otras Features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360"/>
        <w:gridCol w:w="40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Componente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Selector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DashboardPageComponent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kf-dashboard-page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Dashboard KPIs generales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AlertasPageComponent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kf-alertas-page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Alertas con filtros por severidad/estado/área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AnalyticsPageComponent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kf-analytics-page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Reportes y gráficos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ChatPageComponent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kf-chat-page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Mensajería por ficha/VIN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StagingPageComponent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kf-staging-page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Import masivo Excel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LoginComponent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kf-login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Login Azure AD B2C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AuthCallbackComponent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kf-auth-callback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Callback OAuth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4. Componentes UI Compartidos</w:t>
      </w:r>
    </w:p>
    <w:p>
      <w:pPr>
        <w:spacing w:after="120"/>
      </w:pPr>
      <w:r>
        <w:rPr>
          <w:rFonts w:ascii="Arial" w:cs="Arial" w:eastAsia="Arial" w:hAnsi="Arial"/>
          <w:sz w:val="24"/>
          <w:szCs w:val="24"/>
        </w:rPr>
        <w:t xml:space="preserve">libs/shared/ui/ — Reutilizables con design tokens Kaufmann via TailwindCSS.</w:t>
      </w:r>
    </w:p>
    <w:p>
      <w:pPr>
        <w:spacing w:after="200"/>
      </w:pPr>
    </w:p>
    <w:p>
      <w:pPr>
        <w:pStyle w:val="Heading2"/>
      </w:pPr>
      <w:r>
        <w:t xml:space="preserve">4.1 StatusBadgeComponent (kf-status-badge)</w:t>
      </w:r>
    </w:p>
    <w:p>
      <w:pPr>
        <w:spacing w:after="120"/>
      </w:pPr>
      <w:r>
        <w:rPr>
          <w:rFonts w:ascii="Arial" w:cs="Arial" w:eastAsia="Arial" w:hAnsi="Arial"/>
          <w:sz w:val="24"/>
          <w:szCs w:val="24"/>
        </w:rPr>
        <w:t xml:space="preserve">Badge con color semántico por estado.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500"/>
        <w:gridCol w:w="436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Input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status (input.required)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EstadoVin | EstadoHito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Estado a mostrar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size (input)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"sm" | "md" | "lg"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Tamaño (default: "md")</w:t>
            </w:r>
          </w:p>
        </w:tc>
      </w:tr>
    </w:tbl>
    <w:p>
      <w:pPr>
        <w:spacing w:after="200"/>
      </w:pPr>
    </w:p>
    <w:p>
      <w:pPr>
        <w:pStyle w:val="Heading2"/>
      </w:pPr>
      <w:r>
        <w:t xml:space="preserve">4.2 StageNodeComponent (kf-stage-node)</w:t>
      </w:r>
    </w:p>
    <w:p>
      <w:pPr>
        <w:spacing w:after="120"/>
      </w:pPr>
      <w:r>
        <w:rPr>
          <w:rFonts w:ascii="Arial" w:cs="Arial" w:eastAsia="Arial" w:hAnsi="Arial"/>
          <w:sz w:val="24"/>
          <w:szCs w:val="24"/>
        </w:rPr>
        <w:t xml:space="preserve">Nodo circular para visual map con progreso y color por estado.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500"/>
        <w:gridCol w:w="436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Input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status (input.required)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EstadoHito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pending | active | completed | delayed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label (input)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Texto dentro del nodo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size (input)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"sm" | "md" | "lg"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Tamaño (default: "md")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showRing (input)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boolean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Anillo animado exterior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4"/>
          <w:szCs w:val="24"/>
        </w:rPr>
        <w:t xml:space="preserve">Colores: completed=#10b981, active=#3b82f6, delayed=#ef4444, pending=#94a3b8.</w:t>
      </w:r>
    </w:p>
    <w:p>
      <w:pPr>
        <w:spacing w:after="200"/>
      </w:pPr>
    </w:p>
    <w:p>
      <w:pPr>
        <w:pStyle w:val="Heading2"/>
      </w:pPr>
      <w:r>
        <w:t xml:space="preserve">4.3 KpiCardComponent (kf-kpi-card)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500"/>
        <w:gridCol w:w="436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Input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title (input.required)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Título del KPI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value (input.required)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number | string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Valor principal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trend (input)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"up" | "down" | "neutral"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Tendencia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color (input)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Color de acento</w:t>
            </w:r>
          </w:p>
        </w:tc>
      </w:tr>
    </w:tbl>
    <w:p>
      <w:pPr>
        <w:spacing w:after="200"/>
      </w:pPr>
    </w:p>
    <w:p>
      <w:pPr>
        <w:pStyle w:val="Heading2"/>
      </w:pPr>
      <w:r>
        <w:t xml:space="preserve">4.4 VehicleIconComponent (kf-vehicle-icon)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500"/>
        <w:gridCol w:w="436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Input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type (input.required)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Slug: camion | bus | maquinaria | vehiculo_ligero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size (input)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number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Tamaño en px (default: 24)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5. Design System</w:t>
      </w:r>
    </w:p>
    <w:p>
      <w:pPr>
        <w:spacing w:after="200"/>
      </w:pPr>
    </w:p>
    <w:p>
      <w:pPr>
        <w:pStyle w:val="Heading2"/>
      </w:pPr>
      <w:r>
        <w:t xml:space="preserve">5.1 Colores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000"/>
        <w:gridCol w:w="486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Token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Hex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Uso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Brand Navy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#1E3A5F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Headers, sidebar, títulos principales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Brand Blue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#2E75B6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Acciones, links, subtítulos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Emerald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#10b981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Estado A TIEMPO, completed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#ef4444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Estado DEMORADO, delayed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Slate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#94a3b8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FINALIZADO, pending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Blue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#3b82f6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ACTIVO, active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VC/Camiones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#2E75B6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Línea de negocio camiones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Autos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#7C3AED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Línea de negocio autos/vehículos ligeros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Maquinarias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#EA580C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Línea de negocio maquinaria pesada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Buses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#0EA5E9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Línea de negocio buses</w:t>
            </w:r>
          </w:p>
        </w:tc>
      </w:tr>
    </w:tbl>
    <w:p>
      <w:pPr>
        <w:spacing w:after="200"/>
      </w:pPr>
    </w:p>
    <w:p>
      <w:pPr>
        <w:pStyle w:val="Heading2"/>
      </w:pPr>
      <w:r>
        <w:t xml:space="preserve">5.2 Tipografía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Font principal: Plus Jakarta Sans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Monospace (code): Courier New</w:t>
      </w:r>
    </w:p>
    <w:p>
      <w:pPr>
        <w:spacing w:after="200"/>
      </w:pPr>
    </w:p>
    <w:p>
      <w:pPr>
        <w:pStyle w:val="Heading2"/>
      </w:pPr>
      <w:r>
        <w:t xml:space="preserve">5.3 Convenciones UI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Bordes: border-slate-200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Fondos: bg-white, bg-slate-50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Sombras: shadow-sm para cards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Border radius: rounded-lg para cards, rounded-full para badges</w:t>
      </w:r>
    </w:p>
    <w:p>
      <w:pPr>
        <w:spacing w:after="200"/>
      </w:pPr>
    </w:p>
    <w:p>
      <w:pPr>
        <w:pStyle w:val="Heading1"/>
      </w:pPr>
      <w:r>
        <w:t xml:space="preserve">6. Flujo de Hitos y Subetapas</w:t>
      </w:r>
    </w:p>
    <w:p>
      <w:pPr>
        <w:spacing w:after="200"/>
      </w:pPr>
    </w:p>
    <w:p>
      <w:pPr>
        <w:pStyle w:val="Heading2"/>
      </w:pPr>
      <w:r>
        <w:t xml:space="preserve">6.1 Catálogo de 9 Hitos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200"/>
        <w:gridCol w:w="2200"/>
        <w:gridCol w:w="27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Nombre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Carril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Nº Subetapas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importacion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Importación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operativo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 (6 base + 1 bus)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asignacion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Asignación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operativo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pdi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PDI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operativo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credito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Crédito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financiero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 (GAP manual)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facturacion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Facturación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financiero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pago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Pago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financiero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 (GAP manual)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inmatriculacion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Inmatriculación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financiero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programacion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Programación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operativo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 (GAP manual)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entrega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Entrega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operativo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</w:t>
            </w:r>
          </w:p>
        </w:tc>
      </w:tr>
    </w:tbl>
    <w:p>
      <w:pPr>
        <w:spacing w:after="200"/>
      </w:pPr>
    </w:p>
    <w:p>
      <w:pPr>
        <w:pStyle w:val="Heading2"/>
      </w:pPr>
      <w:r>
        <w:t xml:space="preserve">6.2 Subetapas Detalladas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400"/>
        <w:gridCol w:w="2200"/>
        <w:gridCol w:w="1700"/>
        <w:gridCol w:w="22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Hito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Nombre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Categoría</w:t>
            </w:r>
          </w:p>
        </w:tc>
        <w:tc>
          <w:tcPr>
            <w:tcW w:type="dxa" w:w="2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Staging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Importación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imp-1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Solicitud negocio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COMEX</w:t>
            </w:r>
          </w:p>
        </w:tc>
        <w:tc>
          <w:tcPr>
            <w:tcW w:type="dxa" w:w="2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fecha_colocacion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Importación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imp-2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Pedido fábrica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COMEX</w:t>
            </w:r>
          </w:p>
        </w:tc>
        <w:tc>
          <w:tcPr>
            <w:tcW w:type="dxa" w:w="2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fecha_colocacion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Importación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imp-3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Producción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COMEX</w:t>
            </w:r>
          </w:p>
        </w:tc>
        <w:tc>
          <w:tcPr>
            <w:tcW w:type="dxa" w:w="2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fecha_liberacion_fabrica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Importación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imp-bus-1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Carrocero Internacional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COMEX</w:t>
            </w:r>
          </w:p>
        </w:tc>
        <w:tc>
          <w:tcPr>
            <w:tcW w:type="dxa" w:w="2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Solo Buses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Importación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imp-4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Embarque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COMEX</w:t>
            </w:r>
          </w:p>
        </w:tc>
        <w:tc>
          <w:tcPr>
            <w:tcW w:type="dxa" w:w="2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fecha_embarque_sap / etd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Importación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imp-5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En aduana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COMEX</w:t>
            </w:r>
          </w:p>
        </w:tc>
        <w:tc>
          <w:tcPr>
            <w:tcW w:type="dxa" w:w="2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fecha_llegada_aduana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Importación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imp-6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En almacén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LOGISTICA</w:t>
            </w:r>
          </w:p>
        </w:tc>
        <w:tc>
          <w:tcPr>
            <w:tcW w:type="dxa" w:w="2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fecha_ingreso_patio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Asignación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asg-1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Reserva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COMERCIAL</w:t>
            </w:r>
          </w:p>
        </w:tc>
        <w:tc>
          <w:tcPr>
            <w:tcW w:type="dxa" w:w="2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fecha_preasignacion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Asignación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asg-2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Asig. Definitiva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COMERCIAL</w:t>
            </w:r>
          </w:p>
        </w:tc>
        <w:tc>
          <w:tcPr>
            <w:tcW w:type="dxa" w:w="2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fecha_asignacion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PDI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pdi-1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Inicio PDI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LOGISTICA</w:t>
            </w:r>
          </w:p>
        </w:tc>
        <w:tc>
          <w:tcPr>
            <w:tcW w:type="dxa" w:w="2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fecha_ingreso_prod_carr_real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PDI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pdi-2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En Carrocero Local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LOGISTICA</w:t>
            </w:r>
          </w:p>
        </w:tc>
        <w:tc>
          <w:tcPr>
            <w:tcW w:type="dxa" w:w="2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fecha_fin_prod_carr_real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PDI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pdi-3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Salida PDI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LOGISTICA</w:t>
            </w:r>
          </w:p>
        </w:tc>
        <w:tc>
          <w:tcPr>
            <w:tcW w:type="dxa" w:w="2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fecha_liberado_sap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Crédito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cre-1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Solicitud crédito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COMERCIAL</w:t>
            </w:r>
          </w:p>
        </w:tc>
        <w:tc>
          <w:tcPr>
            <w:tcW w:type="dxa" w:w="2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GAP MANUAL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Crédito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cre-2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Aprobación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COMERCIAL</w:t>
            </w:r>
          </w:p>
        </w:tc>
        <w:tc>
          <w:tcPr>
            <w:tcW w:type="dxa" w:w="2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GAP MANUAL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Facturación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fac-1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Emisión Factura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COMERCIAL</w:t>
            </w:r>
          </w:p>
        </w:tc>
        <w:tc>
          <w:tcPr>
            <w:tcW w:type="dxa" w:w="2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fecha_facturacion_sap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Pago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pay-1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Pago Confirmado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COMERCIAL</w:t>
            </w:r>
          </w:p>
        </w:tc>
        <w:tc>
          <w:tcPr>
            <w:tcW w:type="dxa" w:w="2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GAP MANUAL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Inmatriculación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inm-1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Inicio trámite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LOGISTICA</w:t>
            </w:r>
          </w:p>
        </w:tc>
        <w:tc>
          <w:tcPr>
            <w:tcW w:type="dxa" w:w="2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fcc (proxy)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Inmatriculación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inm-2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Placas recibidas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LOGISTICA</w:t>
            </w:r>
          </w:p>
        </w:tc>
        <w:tc>
          <w:tcPr>
            <w:tcW w:type="dxa" w:w="2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fclr (proxy)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Programación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prg-1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Unidad Lista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LOGISTICA</w:t>
            </w:r>
          </w:p>
        </w:tc>
        <w:tc>
          <w:tcPr>
            <w:tcW w:type="dxa" w:w="2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GAP MANUAL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Programación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prg-2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Cita Agendada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COMERCIAL</w:t>
            </w:r>
          </w:p>
        </w:tc>
        <w:tc>
          <w:tcPr>
            <w:tcW w:type="dxa" w:w="2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GAP MANUAL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Entrega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ent-1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Entregado al Cliente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COMERCIAL</w:t>
            </w:r>
          </w:p>
        </w:tc>
        <w:tc>
          <w:tcPr>
            <w:tcW w:type="dxa" w:w="2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fecha_entrega_cliente</w:t>
            </w:r>
          </w:p>
        </w:tc>
      </w:tr>
    </w:tbl>
    <w:p>
      <w:pPr>
        <w:spacing w:after="200"/>
      </w:pPr>
    </w:p>
    <w:p>
      <w:pPr>
        <w:pStyle w:val="Heading2"/>
      </w:pPr>
      <w:r>
        <w:t xml:space="preserve">6.3 Lógica Mock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Hitos secuenciales: inicio de uno = día siguiente al fin del anterior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PDI paralelo con crédito→facturación→pago después de Asignación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Programación espera MAX(inmatriculación, PDI)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Escenario delayed: Importación +8d, Crédito +3d, PDI +5d en fechas reales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Buses: Importación +5 días offset + subetapa "Carrocero Internacional"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5 subetapas GAP manual sin mapeo staging (editables por usuario)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00" w:before="420"/>
    </w:pPr>
    <w:rPr>
      <w:rFonts w:ascii="Arial" w:cs="Arial" w:eastAsia="Arial" w:hAnsi="Arial"/>
      <w:b/>
      <w:bCs/>
      <w:color w:val="1E3A5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80" w:before="260"/>
    </w:pPr>
    <w:rPr>
      <w:rFonts w:ascii="Arial" w:cs="Arial" w:eastAsia="Arial" w:hAnsi="Arial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60" w:before="200"/>
    </w:pPr>
    <w:rPr>
      <w:rFonts w:ascii="Arial" w:cs="Arial" w:eastAsia="Arial" w:hAnsi="Arial"/>
      <w:b/>
      <w:bCs/>
      <w:color w:val="2E75B6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2026-03-13T22:47:07.505Z</dcterms:created>
  <dcterms:modified xsi:type="dcterms:W3CDTF">2026-03-13T22:47:07.505Z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