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开源软件许可证合规检测报告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>—— 以 ScanCode 系工具对 DLSS 5 Swapper 项目的合规扫描为例</w:t>
      </w:r>
    </w:p>
    <w:p>
      <w:pPr>
        <w:jc w:val="center"/>
      </w:pPr>
      <w:r>
        <w:rPr>
          <w:rFonts w:ascii="Times New Roman" w:hAnsi="Times New Roman" w:eastAsia="宋体"/>
        </w:rPr>
        <w:t>学号：f25015138  姓名：徐潘磊  日期：2026年10月14日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一、选取的开源项目介绍</w:t>
      </w:r>
    </w:p>
    <w:p>
      <w:r>
        <w:rPr>
          <w:rFonts w:ascii="Times New Roman" w:hAnsi="Times New Roman" w:eastAsia="宋体"/>
          <w:b w:val="0"/>
        </w:rPr>
        <w:t>本次合规检测选取的开源项目为 DLSS 5 Swapper（https://github.com/rakanki911/DLSS5-Swapper），是一个基于 Electron 框架开发的 Windows 桌面应用程序，主要用于在各类游戏及模拟器中安装和管理 DLSS 5 神经渲染组件。该项目当前版本为 2.2.9，采用 MIT 许可证发布，原作者为 Rakan Alkhaldi，在 GitHub 上以开源形式维护，并配有完善的第三方声明文件（THIRD_PARTY_NOTICES.md）。</w:t>
      </w:r>
    </w:p>
    <w:p>
      <w:r>
        <w:rPr>
          <w:rFonts w:ascii="Times New Roman" w:hAnsi="Times New Roman" w:eastAsia="宋体"/>
          <w:b w:val="0"/>
        </w:rPr>
        <w:t>从技术构成上看，该项目为典型的 JavaScript/Node.js 工程：主程序由 main.js 及 src/ 目录下若干模块构成，同时包含 C++ 编写的游戏内悬浮层（overlay/）与 PowerShell 构建脚本（scripts/）。工程依赖托管于 package.json / package-lock.json，实际依赖树安装于 node_modules 目录，共 313 个第三方包，这正是许可证合规风险最集中的部分，因此本次扫描将 node_modules 一并纳入检测范围。</w:t>
      </w:r>
    </w:p>
    <w:p>
      <w:r>
        <w:rPr>
          <w:rFonts w:ascii="Times New Roman" w:hAnsi="Times New Roman" w:eastAsia="宋体"/>
          <w:b w:val="0"/>
        </w:rPr>
        <w:t>选择该项目的理由有三：其一，它是真实、活跃且完成度较高的开源项目，具有实际分发行为的桌面软件，合规问题更贴近工程实践；其二，其依赖数量大、来源多样，能够充分检验检测工具的识别能力；其三，项目自带 LICENSE 与第三方声明文件，便于将扫描结果与作者自述的合规状况相互印证。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二、许可证合规检测工具的安装过程及遇到的问题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2.1 工具选型</w:t>
      </w:r>
    </w:p>
    <w:p>
      <w:r>
        <w:rPr>
          <w:rFonts w:ascii="Times New Roman" w:hAnsi="Times New Roman" w:eastAsia="宋体"/>
          <w:b w:val="0"/>
        </w:rPr>
        <w:t>在参考工具列表中，经过对比，选择使用 npm 生态中广泛使用的 license-checker（属于 ScanCode/AboutCode 思想在 Node 生态的轻量实现，配合 SPDX 标准输出）。选型考虑如下：本项目为 Node.js 工程，license-checker 可直接读取依赖树的 package.json 与 LICENSE 文件，识别准确率高；支持输出 JSON / CSV / 汇总文本三种格式，便于生成结构化报告；工具本身轻量，安装简单，适合对单个项目做全量依赖扫描。相较 Apache Rat（面向 Apache 发布审计、需 Java 环境）、FOSSology（需部署服务端）等重型工具，license-checker 更贴合本项目的技术栈。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2.2 安装过程</w:t>
      </w:r>
    </w:p>
    <w:p>
      <w:r>
        <w:rPr>
          <w:rFonts w:ascii="Times New Roman" w:hAnsi="Times New Roman" w:eastAsia="宋体"/>
          <w:b w:val="0"/>
        </w:rPr>
        <w:t>安装与执行步骤如下：</w:t>
      </w:r>
    </w:p>
    <w:p>
      <w:pPr>
        <w:pStyle w:val="ListBullet"/>
      </w:pPr>
      <w:r>
        <w:rPr>
          <w:rFonts w:ascii="Times New Roman" w:hAnsi="Times New Roman" w:eastAsia="宋体"/>
        </w:rPr>
        <w:t>环境准备：Windows 11 x64，已安装 Node.js（v20+）与 npm；</w:t>
      </w:r>
    </w:p>
    <w:p>
      <w:pPr>
        <w:pStyle w:val="ListBullet"/>
      </w:pPr>
      <w:r>
        <w:rPr>
          <w:rFonts w:ascii="Times New Roman" w:hAnsi="Times New Roman" w:eastAsia="宋体"/>
        </w:rPr>
        <w:t>全局安装工具：执行 npm install -g license-checker；</w:t>
      </w:r>
    </w:p>
    <w:p>
      <w:pPr>
        <w:pStyle w:val="ListBullet"/>
      </w:pPr>
      <w:r>
        <w:rPr>
          <w:rFonts w:ascii="Times New Roman" w:hAnsi="Times New Roman" w:eastAsia="宋体"/>
        </w:rPr>
        <w:t>执行扫描：在项目根目录执行 license-checker --start . --csv license-checker-report.csv --json license-checker-report.json，并汇总生成 license-checker-summary.txt；</w:t>
      </w:r>
    </w:p>
    <w:p>
      <w:pPr>
        <w:pStyle w:val="ListBullet"/>
      </w:pPr>
      <w:r>
        <w:rPr>
          <w:rFonts w:ascii="Times New Roman" w:hAnsi="Times New Roman" w:eastAsia="宋体"/>
        </w:rPr>
        <w:t>对 JSON 结果逐包核验许可证表达式、仓库地址与许可证文件路径。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2.3 安装与使用中遇到的问题</w:t>
      </w:r>
    </w:p>
    <w:p>
      <w:pPr>
        <w:pStyle w:val="ListBullet"/>
      </w:pPr>
      <w:r>
        <w:rPr>
          <w:rFonts w:ascii="Times New Roman" w:hAnsi="Times New Roman" w:eastAsia="宋体"/>
        </w:rPr>
        <w:t>Windows PowerShell 执行策略限制：全局安装后直接调用命令被拦截，需以管理员身份调整执行策略后解决；</w:t>
      </w:r>
    </w:p>
    <w:p>
      <w:pPr>
        <w:pStyle w:val="ListBullet"/>
      </w:pPr>
      <w:r>
        <w:rPr>
          <w:rFonts w:ascii="Times New Roman" w:hAnsi="Times New Roman" w:eastAsia="宋体"/>
        </w:rPr>
        <w:t>依赖重复识别：同一上游包（如 debug、chalk、balanced-match）因被不同父依赖以不同版本多次引入而重复出现，报告按"包名@版本"区分，需在统计时加以合并说明；</w:t>
      </w:r>
    </w:p>
    <w:p>
      <w:pPr>
        <w:pStyle w:val="ListBullet"/>
      </w:pPr>
      <w:r>
        <w:rPr>
          <w:rFonts w:ascii="Times New Roman" w:hAnsi="Times New Roman" w:eastAsia="宋体"/>
        </w:rPr>
        <w:t>许可证表达式的歧义：部分包的 license 字段为 "WTFPL OR MIT"、"MIT OR CC0-1.0" 等双许可表达式，需结合 SPDX 语法理解——用户可任选其一遵守，并非风险；</w:t>
      </w:r>
    </w:p>
    <w:p>
      <w:pPr>
        <w:pStyle w:val="ListBullet"/>
      </w:pPr>
      <w:r>
        <w:rPr>
          <w:rFonts w:ascii="Times New Roman" w:hAnsi="Times New Roman" w:eastAsia="宋体"/>
        </w:rPr>
        <w:t>个别包以 README 代替 LICENSE 文件（如 app-builder-lib），扫描器按 package.json 声明的许可证记录，需人工抽查核实。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三、工具输出的检测报告</w:t>
      </w:r>
    </w:p>
    <w:p>
      <w:r>
        <w:rPr>
          <w:rFonts w:ascii="Times New Roman" w:hAnsi="Times New Roman" w:eastAsia="宋体"/>
          <w:b w:val="0"/>
        </w:rPr>
        <w:t>工具对项目自身及 313 个第三方依赖包完成扫描，许可证分布统计如下：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许可证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包数量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72.5%</w:t>
            </w:r>
          </w:p>
        </w:tc>
      </w:tr>
      <w:tr>
        <w:tc>
          <w:tcPr>
            <w:tcW w:type="dxa" w:w="2880"/>
          </w:tcPr>
          <w:p>
            <w:r>
              <w:t>ISC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14.1%</w:t>
            </w:r>
          </w:p>
        </w:tc>
      </w:tr>
      <w:tr>
        <w:tc>
          <w:tcPr>
            <w:tcW w:type="dxa" w:w="2880"/>
          </w:tcPr>
          <w:p>
            <w:r>
              <w:t>BSD-3-Clause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  <w:tr>
        <w:tc>
          <w:tcPr>
            <w:tcW w:type="dxa" w:w="2880"/>
          </w:tcPr>
          <w:p>
            <w:r>
              <w:t>Apache-2.0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BlueOak-1.0.0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BSD-2-Clause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Python-2.0 (Apache-2.0)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WTFPL 及双许可变体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CC-BY-3.0 / CC0-1.0 等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0BSD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>
      <w:r>
        <w:rPr>
          <w:rFonts w:ascii="Times New Roman" w:hAnsi="Times New Roman" w:eastAsia="宋体"/>
          <w:b w:val="0"/>
        </w:rPr>
      </w:r>
    </w:p>
    <w:p>
      <w:r>
        <w:rPr>
          <w:rFonts w:ascii="Times New Roman" w:hAnsi="Times New Roman" w:eastAsia="宋体"/>
          <w:b w:val="0"/>
        </w:rPr>
        <w:t>扫描同时输出了每个包的详细字段：包名@版本、许可证表达式、源码仓库、发布者、安装路径及许可证文件位置。代表性结果举例：</w:t>
      </w:r>
    </w:p>
    <w:p>
      <w:pPr>
        <w:pStyle w:val="ListBullet"/>
      </w:pPr>
      <w:r>
        <w:rPr>
          <w:rFonts w:ascii="Times New Roman" w:hAnsi="Times New Roman" w:eastAsia="宋体"/>
        </w:rPr>
        <w:t>electron 相关工具链（@electron/asar、@electron/get、electron-builder 等）：MIT / BSD-2-Clause；</w:t>
      </w:r>
    </w:p>
    <w:p>
      <w:pPr>
        <w:pStyle w:val="ListBullet"/>
      </w:pPr>
      <w:r>
        <w:rPr>
          <w:rFonts w:ascii="Times New Roman" w:hAnsi="Times New Roman" w:eastAsia="宋体"/>
        </w:rPr>
        <w:t>PeculiarVentures 加密组件（asn1js、bytestreamjs、webcrypto-core 等）：MIT / BSD-3-Clause；</w:t>
      </w:r>
    </w:p>
    <w:p>
      <w:pPr>
        <w:pStyle w:val="ListBullet"/>
      </w:pPr>
      <w:r>
        <w:rPr>
          <w:rFonts w:ascii="Times New Roman" w:hAnsi="Times New Roman" w:eastAsia="宋体"/>
        </w:rPr>
        <w:t>isaacs 系列工具包（tar、chownr、yallist 等）：BlueOak-1.0.0（npm 官方近年采用的企业友好许可证）；</w:t>
      </w:r>
    </w:p>
    <w:p>
      <w:pPr>
        <w:pStyle w:val="ListBullet"/>
      </w:pPr>
      <w:r>
        <w:rPr>
          <w:rFonts w:ascii="Times New Roman" w:hAnsi="Times New Roman" w:eastAsia="宋体"/>
        </w:rPr>
        <w:t>argparse：Python-2.0 许可证（即 Apache-2.0 授权的 Python 基金会许可证）；</w:t>
      </w:r>
    </w:p>
    <w:p>
      <w:pPr>
        <w:pStyle w:val="ListBullet"/>
      </w:pPr>
      <w:r>
        <w:rPr>
          <w:rFonts w:ascii="Times New Roman" w:hAnsi="Times New Roman" w:eastAsia="宋体"/>
        </w:rPr>
        <w:t>spdx-license-ids（CC0-1.0）、spdx-exceptions（CC-BY-3.0）等 SPDX 数据包：知识共享类许可证。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四、对检测报告的详细分析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总体合规状况</w:t>
      </w:r>
    </w:p>
    <w:p>
      <w:r>
        <w:rPr>
          <w:rFonts w:ascii="Times New Roman" w:hAnsi="Times New Roman" w:eastAsia="宋体"/>
          <w:b w:val="0"/>
        </w:rPr>
        <w:t>本次扫描共识别 15 种许可证表达式、313 个组件。其中 MIT（72.5%）、ISC（14.1%）、BSD 两类（5.4%）、Apache-2.0（2.6%）合计约 94.6%，全部属于宽松式（Permissive）许可证。这类许可证仅要求保留版权声明与许可证文本，不要求衍生作品开源，对以应用形式分发的桌面软件几乎不构成义务负担，因此该项目的许可证合规基础状况良好。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需要重点关注的事项</w:t>
      </w:r>
    </w:p>
    <w:p>
      <w:r>
        <w:rPr>
          <w:rFonts w:ascii="Times New Roman" w:hAnsi="Times New Roman" w:eastAsia="宋体"/>
          <w:b w:val="0"/>
        </w:rPr>
        <w:t>宽松许可是否"零风险"，仍需逐类分析：</w:t>
      </w:r>
    </w:p>
    <w:p>
      <w:pPr>
        <w:pStyle w:val="ListBullet"/>
      </w:pPr>
      <w:r>
        <w:rPr>
          <w:rFonts w:ascii="Times New Roman" w:hAnsi="Times New Roman" w:eastAsia="宋体"/>
        </w:rPr>
        <w:t>BlueOak-1.0.0（8 个包）：这是 npm 官方 2020 年后推出的专利友好型许可证，明确授予专利许可并含专利报复条款，兼容性良好，但较新，个别企业内部白名单尚未收录，企业化使用时需向法务报备；</w:t>
      </w:r>
    </w:p>
    <w:p>
      <w:pPr>
        <w:pStyle w:val="ListBullet"/>
      </w:pPr>
      <w:r>
        <w:rPr>
          <w:rFonts w:ascii="Times New Roman" w:hAnsi="Times New Roman" w:eastAsia="宋体"/>
        </w:rPr>
        <w:t>WTFPL 及其双许可变体（4 个包）：WTFPL 语义上接近"公有领域放任"，法律效力在部分司法辖区曾受质疑，实践中建议以双许可中的另一选项（MIT/ISC）作为引用依据，规避争议；</w:t>
      </w:r>
    </w:p>
    <w:p>
      <w:pPr>
        <w:pStyle w:val="ListBullet"/>
      </w:pPr>
      <w:r>
        <w:rPr>
          <w:rFonts w:ascii="Times New Roman" w:hAnsi="Times New Roman" w:eastAsia="宋体"/>
        </w:rPr>
        <w:t>CC-BY-3.0（spdx-exceptions）：CC 系列许可证本不推荐用于软件，但该包内容是 SPDX 数据清单而非代码，署名要求通过保留声明即可满足，无实质风险；</w:t>
      </w:r>
    </w:p>
    <w:p>
      <w:pPr>
        <w:pStyle w:val="ListBullet"/>
      </w:pPr>
      <w:r>
        <w:rPr>
          <w:rFonts w:ascii="Times New Roman" w:hAnsi="Times New Roman" w:eastAsia="宋体"/>
        </w:rPr>
        <w:t>Python-2.0（argparse）：实质为 Apache-2.0 条款，义务与主流宽松许可证一致，无需特别处理。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与项目自带声明的交叉验证</w:t>
      </w:r>
    </w:p>
    <w:p>
      <w:r>
        <w:rPr>
          <w:rFonts w:ascii="Times New Roman" w:hAnsi="Times New Roman" w:eastAsia="宋体"/>
          <w:b w:val="0"/>
        </w:rPr>
        <w:t>项目根目录的 THIRD_PARTY_NOTICES.md 与扫描生成的许可证清单高度吻合，说明作者在发布时执行了较为规范的开源合规流程，已履行"保留版权与许可声明"的核心义务。本项目采用 MIT 许可证发布，与依赖中占绝对主体的 MIT/ISC/BSD 生态完全兼容，不存在 copyleft（如 GPL/AGPL）传染风险——扫描结果中未出现任何强保护性许可证，这是本次合规检测最重要的结论。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对工具的评价与改进建议</w:t>
      </w:r>
    </w:p>
    <w:p>
      <w:r>
        <w:rPr>
          <w:rFonts w:ascii="Times New Roman" w:hAnsi="Times New Roman" w:eastAsia="宋体"/>
          <w:b w:val="0"/>
        </w:rPr>
        <w:t>本次使用的 license-checker 对 npm 生态的许可证识别准确、输出结构清晰，但也存在局限：它只读取 package.json 声明与 LICENSE 文件，不做源码级许可证文本识别，若上游声明与实际文件不符会漏检；不识别代码片段级别的复制。若需更严格的审计，可进一步使用 ScanCode Toolkit 做源码级扫描，或使用 FOSSology 的 Monk/Nomos 引擎交叉验证。</w:t>
      </w:r>
    </w:p>
    <w:p>
      <w:r>
        <w:rPr>
          <w:rFonts w:ascii="Times New Roman" w:hAnsi="Times New Roman" w:eastAsia="宋体"/>
          <w:b w:val="0"/>
        </w:rPr>
        <w:t>对项目本身，提出以下合规改进建议：（1）在发行包中随附完整的第三方许可证清单（可由本次 JSON 报告自动生成），而不仅在源仓库保留声明；（2）对 WTFPL 双许可包在声明文件中显式注明采用 MIT 选项；（3）在 CI 流水线中加入许可证扫描步骤，新增依赖时自动比对许可证白名单，实现持续合规。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4.5 总结</w:t>
      </w:r>
    </w:p>
    <w:p>
      <w:r>
        <w:rPr>
          <w:rFonts w:ascii="Times New Roman" w:hAnsi="Times New Roman" w:eastAsia="宋体"/>
          <w:b w:val="0"/>
        </w:rPr>
        <w:t>通过本次实践，完整体验了"选型—安装—扫描—分析"的开源许可证合规流程。DLSS 5 Swapper 项目依赖生态以宽松许可证为绝对主体，无 copyleft 传染风险，合规状况良好；同时认识到合规不是"扫描一次"而是持续工程实践，理解了 SPDX 表达式、双许可、BlueOak 等新式许可证在实务中的处理方式，加深了对开源合规体系的整体认知。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