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0FDF78" w14:textId="23E602EA" w:rsidR="00315F72" w:rsidRPr="00315F72" w:rsidRDefault="00315F72">
      <w:pPr>
        <w:rPr>
          <w:sz w:val="36"/>
          <w:szCs w:val="36"/>
        </w:rPr>
      </w:pPr>
      <w:r w:rsidRPr="00315F72">
        <w:rPr>
          <w:sz w:val="36"/>
          <w:szCs w:val="36"/>
        </w:rPr>
        <w:t>The frontoparietal network</w:t>
      </w:r>
      <w:r>
        <w:rPr>
          <w:sz w:val="36"/>
          <w:szCs w:val="36"/>
        </w:rPr>
        <w:t xml:space="preserve"> (FPN)</w:t>
      </w:r>
    </w:p>
    <w:p w14:paraId="3810B71E" w14:textId="4DCDFF42" w:rsidR="00315F72" w:rsidRDefault="00315F72"/>
    <w:p w14:paraId="72C65905" w14:textId="052CB747" w:rsidR="00912F95" w:rsidRDefault="00606D6B">
      <w:r>
        <w:rPr>
          <w:noProof/>
        </w:rPr>
        <w:drawing>
          <wp:inline distT="0" distB="0" distL="0" distR="0" wp14:anchorId="6F13B290" wp14:editId="61B6440F">
            <wp:extent cx="180975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9750" cy="2533650"/>
                    </a:xfrm>
                    <a:prstGeom prst="rect">
                      <a:avLst/>
                    </a:prstGeom>
                  </pic:spPr>
                </pic:pic>
              </a:graphicData>
            </a:graphic>
          </wp:inline>
        </w:drawing>
      </w:r>
      <w:r w:rsidR="001F621A">
        <w:rPr>
          <w:noProof/>
        </w:rPr>
        <w:t xml:space="preserve">                    </w:t>
      </w:r>
      <w:r>
        <w:rPr>
          <w:noProof/>
        </w:rPr>
        <w:drawing>
          <wp:inline distT="0" distB="0" distL="0" distR="0" wp14:anchorId="35D3BC05" wp14:editId="16E0E8F5">
            <wp:extent cx="914400" cy="2200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 cy="2200275"/>
                    </a:xfrm>
                    <a:prstGeom prst="rect">
                      <a:avLst/>
                    </a:prstGeom>
                  </pic:spPr>
                </pic:pic>
              </a:graphicData>
            </a:graphic>
          </wp:inline>
        </w:drawing>
      </w:r>
      <w:r w:rsidR="001F621A">
        <w:rPr>
          <w:noProof/>
        </w:rPr>
        <w:t xml:space="preserve">                  </w:t>
      </w:r>
      <w:r>
        <w:rPr>
          <w:noProof/>
        </w:rPr>
        <w:drawing>
          <wp:inline distT="0" distB="0" distL="0" distR="0" wp14:anchorId="72A0722F" wp14:editId="10495CA1">
            <wp:extent cx="1781175" cy="2143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175" cy="2143125"/>
                    </a:xfrm>
                    <a:prstGeom prst="rect">
                      <a:avLst/>
                    </a:prstGeom>
                  </pic:spPr>
                </pic:pic>
              </a:graphicData>
            </a:graphic>
          </wp:inline>
        </w:drawing>
      </w:r>
      <w:r>
        <w:rPr>
          <w:noProof/>
        </w:rPr>
        <w:drawing>
          <wp:inline distT="0" distB="0" distL="0" distR="0" wp14:anchorId="7606587B" wp14:editId="6AAD7F85">
            <wp:extent cx="5731510" cy="3963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63670"/>
                    </a:xfrm>
                    <a:prstGeom prst="rect">
                      <a:avLst/>
                    </a:prstGeom>
                  </pic:spPr>
                </pic:pic>
              </a:graphicData>
            </a:graphic>
          </wp:inline>
        </w:drawing>
      </w:r>
    </w:p>
    <w:p w14:paraId="6A0E5355" w14:textId="4A4A76BE" w:rsidR="00315F72" w:rsidRDefault="00315F72"/>
    <w:p w14:paraId="06ED3A1F" w14:textId="0F525DF7" w:rsidR="00315F72" w:rsidRDefault="009A1274">
      <w:r>
        <w:t xml:space="preserve">The </w:t>
      </w:r>
      <w:r w:rsidR="006500D5" w:rsidRPr="006500D5">
        <w:rPr>
          <w:b/>
          <w:bCs/>
        </w:rPr>
        <w:t>frontoparietal network (</w:t>
      </w:r>
      <w:r w:rsidRPr="006500D5">
        <w:rPr>
          <w:b/>
          <w:bCs/>
        </w:rPr>
        <w:t>FPN</w:t>
      </w:r>
      <w:r w:rsidR="006500D5" w:rsidRPr="006500D5">
        <w:rPr>
          <w:b/>
          <w:bCs/>
        </w:rPr>
        <w:t>)</w:t>
      </w:r>
      <w:r>
        <w:t xml:space="preserve"> is also known as the </w:t>
      </w:r>
      <w:r w:rsidRPr="006500D5">
        <w:rPr>
          <w:b/>
          <w:bCs/>
        </w:rPr>
        <w:t>central executive network (CEN)</w:t>
      </w:r>
      <w:r w:rsidR="005C5824">
        <w:rPr>
          <w:b/>
          <w:bCs/>
        </w:rPr>
        <w:t xml:space="preserve"> </w:t>
      </w:r>
      <w:r w:rsidR="005C5824" w:rsidRPr="005C5824">
        <w:t>(and many other names)</w:t>
      </w:r>
      <w:r w:rsidR="0071667B">
        <w:t>,</w:t>
      </w:r>
      <w:r>
        <w:t xml:space="preserve"> and is</w:t>
      </w:r>
      <w:r w:rsidR="00315F72">
        <w:t xml:space="preserve"> generally</w:t>
      </w:r>
      <w:r>
        <w:t xml:space="preserve"> comprised of the </w:t>
      </w:r>
      <w:r w:rsidR="00D32533" w:rsidRPr="00E0074B">
        <w:rPr>
          <w:u w:val="single"/>
        </w:rPr>
        <w:t xml:space="preserve">lateral </w:t>
      </w:r>
      <w:r w:rsidR="001A664B" w:rsidRPr="00E0074B">
        <w:rPr>
          <w:u w:val="single"/>
        </w:rPr>
        <w:t>pre</w:t>
      </w:r>
      <w:r w:rsidR="00D32533" w:rsidRPr="00E0074B">
        <w:rPr>
          <w:u w:val="single"/>
        </w:rPr>
        <w:t xml:space="preserve">frontal </w:t>
      </w:r>
      <w:r w:rsidR="001A664B" w:rsidRPr="00E0074B">
        <w:rPr>
          <w:u w:val="single"/>
        </w:rPr>
        <w:t>cortex</w:t>
      </w:r>
      <w:r w:rsidR="00D32533" w:rsidRPr="00E0074B">
        <w:rPr>
          <w:u w:val="single"/>
        </w:rPr>
        <w:t xml:space="preserve">, such as </w:t>
      </w:r>
      <w:r w:rsidR="00D32533" w:rsidRPr="00E0074B">
        <w:rPr>
          <w:u w:val="single"/>
          <w:shd w:val="clear" w:color="auto" w:fill="FFC000"/>
        </w:rPr>
        <w:t>the</w:t>
      </w:r>
      <w:r w:rsidR="00D32533">
        <w:rPr>
          <w:u w:val="single"/>
          <w:shd w:val="clear" w:color="auto" w:fill="FFC000"/>
        </w:rPr>
        <w:t xml:space="preserve"> d</w:t>
      </w:r>
      <w:r w:rsidRPr="00456B86">
        <w:rPr>
          <w:u w:val="single"/>
          <w:shd w:val="clear" w:color="auto" w:fill="FFC000"/>
        </w:rPr>
        <w:t>orsolateral prefrontal cortex (DLPFC)</w:t>
      </w:r>
      <w:r w:rsidR="00912F95">
        <w:rPr>
          <w:u w:val="single"/>
          <w:shd w:val="clear" w:color="auto" w:fill="FFC000"/>
        </w:rPr>
        <w:t>, the mid cingulate cortex,</w:t>
      </w:r>
      <w:r>
        <w:t xml:space="preserve"> and the </w:t>
      </w:r>
      <w:r w:rsidRPr="00E0074B">
        <w:rPr>
          <w:u w:val="single"/>
        </w:rPr>
        <w:t>posterior parietal cortex (PPC)</w:t>
      </w:r>
      <w:r w:rsidR="00FD78B3" w:rsidRPr="00E0074B">
        <w:rPr>
          <w:u w:val="single"/>
        </w:rPr>
        <w:t xml:space="preserve">, </w:t>
      </w:r>
      <w:r w:rsidR="00FD78B3" w:rsidRPr="00E0074B">
        <w:t xml:space="preserve">which </w:t>
      </w:r>
      <w:r w:rsidR="00FD78B3" w:rsidRPr="0071667B">
        <w:t>divides into</w:t>
      </w:r>
      <w:r w:rsidR="00FD78B3">
        <w:rPr>
          <w:u w:val="single"/>
          <w:shd w:val="clear" w:color="auto" w:fill="FFC000"/>
        </w:rPr>
        <w:t xml:space="preserve"> the superior parietal cortex, the inferior parietal cortex, and the intraparietal sulcus (IPS</w:t>
      </w:r>
      <w:r w:rsidR="00C55A61">
        <w:rPr>
          <w:u w:val="single"/>
          <w:shd w:val="clear" w:color="auto" w:fill="FFC000"/>
        </w:rPr>
        <w:t>).</w:t>
      </w:r>
      <w:r w:rsidR="005C5824" w:rsidRPr="00C55A61">
        <w:t xml:space="preserve"> </w:t>
      </w:r>
      <w:r w:rsidR="00C55A61" w:rsidRPr="00C55A61">
        <w:t>Other less prominent regions also include</w:t>
      </w:r>
      <w:r w:rsidR="00C55A61">
        <w:t xml:space="preserve"> the dorsal </w:t>
      </w:r>
      <w:proofErr w:type="spellStart"/>
      <w:r w:rsidR="00C55A61">
        <w:t>precuneus</w:t>
      </w:r>
      <w:proofErr w:type="spellEnd"/>
      <w:r w:rsidR="00C55A61">
        <w:t xml:space="preserve">, the posterior inferior temporal lobe, anterior to MT+, and the dorsomedial thalamus and head of the caudate. </w:t>
      </w:r>
      <w:r w:rsidR="005C5824" w:rsidRPr="005C5824">
        <w:fldChar w:fldCharType="begin" w:fldLock="1"/>
      </w:r>
      <w:r w:rsidR="005C5824">
        <w:instrText>ADDIN CSL_CITATION {"citationItems":[{"id":"ITEM-1","itemData":{"DOI":"10.1007/s10548-019-00744-6","PMID":"31707621","abstract":"The past decade has witnessed a proliferation of studies aimed at characterizing the human connectome. These projects map the brain regions comprising large-scale systems underlying cognition using non-invasive neuroimaging approaches and advanced analytic techniques adopted from network science. While the idea that the human brain is composed of multiple macro-scale functional networks has been gaining traction in cognitive neuroscience, the field has yet to reach consensus on several key issues regarding terminology. What constitutes a functional brain network? Are there “core” functional networks, and if so, what are their spatial topographies? What naming conventions, if universally adopted, will provide the most utility and facilitate communication amongst researchers? Can a taxonomy of functional brain networks be delineated? Here we survey the current landscape to identify six common macro-scale brain network naming schemes and conventions utilized in the literature, highlighting inconsistencies and points of confusion where appropriate. As a minimum recommendation upon which to build, we propose that a scheme incorporating anatomical terminology should provide the foundation for a taxonomy of functional brain networks. A logical starting point in this endeavor might delineate systems that we refer to here as “occipital”, “pericentral”, “dorsal frontoparietal”, “lateral frontoparietal”, “midcingulo-insular”, and “medial frontoparietal” networks. We posit that as the field of network neuroscience matures, it will become increasingly imperative to arrive at a taxonomy such as that proposed here, that can be consistently referenced across research groups.","author":[{"dropping-particle":"","family":"Uddin","given":"Lucina Q","non-dropping-particle":"","parse-names":false,"suffix":""},{"dropping-particle":"","family":"Yeo","given":"Thomas B T","non-dropping-particle":"","parse-names":false,"suffix":""},{"dropping-particle":"","family":"Spreng","given":"Nathan R","non-dropping-particle":"","parse-names":false,"suffix":""}],"container-title":"Brain Topography","id":"ITEM-1","issue":"6","issued":{"date-parts":[["2019"]]},"page":"926-942","title":"Towards a universal taxonomy of macro-scale functional human brain networks","type":"article-journal","volume":"32"},"uris":["http://www.mendeley.com/documents/?uuid=8e70877a-a8a8-4652-b727-286db940b147"]}],"mendeley":{"formattedCitation":"(Uddin, Yeo, &amp; Spreng, 2019)","plainTextFormattedCitation":"(Uddin, Yeo, &amp; Spreng, 2019)","previouslyFormattedCitation":"(Uddin, Yeo, &amp; Spreng, 2019)"},"properties":{"noteIndex":0},"schema":"https://github.com/citation-style-language/schema/raw/master/csl-citation.json"}</w:instrText>
      </w:r>
      <w:r w:rsidR="005C5824" w:rsidRPr="005C5824">
        <w:fldChar w:fldCharType="separate"/>
      </w:r>
      <w:r w:rsidR="005C5824" w:rsidRPr="005C5824">
        <w:rPr>
          <w:noProof/>
        </w:rPr>
        <w:t xml:space="preserve">(Uddin, Yeo, &amp; </w:t>
      </w:r>
      <w:r w:rsidR="005C5824" w:rsidRPr="005C5824">
        <w:rPr>
          <w:noProof/>
        </w:rPr>
        <w:lastRenderedPageBreak/>
        <w:t>Spreng, 2019)</w:t>
      </w:r>
      <w:r w:rsidR="005C5824" w:rsidRPr="005C5824">
        <w:fldChar w:fldCharType="end"/>
      </w:r>
      <w:r w:rsidRPr="005C5824">
        <w:t>.</w:t>
      </w:r>
      <w:r>
        <w:t xml:space="preserve"> </w:t>
      </w:r>
      <w:r w:rsidR="00315F72">
        <w:t xml:space="preserve"> </w:t>
      </w:r>
      <w:r w:rsidR="0071667B">
        <w:t>The FPN is</w:t>
      </w:r>
      <w:r w:rsidR="00272C16">
        <w:t xml:space="preserve"> supposed to be anti-correlated with the resting network, the default mode network (DMN), while the salience network acts as a sort of ‘mediator’ in switching between these two networks</w:t>
      </w:r>
      <w:r w:rsidR="005834D9">
        <w:t xml:space="preserve"> </w:t>
      </w:r>
      <w:r w:rsidR="005834D9">
        <w:fldChar w:fldCharType="begin" w:fldLock="1"/>
      </w:r>
      <w:r w:rsidR="005834D9">
        <w:instrText>ADDIN CSL_CITATION {"citationItems":[{"id":"ITEM-1","itemData":{"DOI":"10.1073/pnas.0800005105","ISSN":"00278424","PMID":"18723676","abstract":"Cognitively demanding tasks that evoke activation in the brain's central-executive network (CEN) have been consistently shown to evoke decreased activation (deactivation) in the default-mode network (DMN). The neural mechanisms underlying this switch between activation and deactivation of large-scale brain networks remain completely unknown. Here, we use functional magnetic resonance imaging (fMRI) to investigate the mechanisms underlying switching of brain networks in three different experiments. We first examined this switching process in an auditory event segmentation task. We observed significant activation of the CEN and deactivation of the DMN, along with activation of a third network comprising the right fronto-insular cortex (rFIC) and anterior cingulate cortex (ACC), when participants perceived salient auditory event boundaries. Using chronometric techniques and Granger causality analysis, we show that the rFIC-ACC network, and the rFIC, in particular, plays a critical and causal role in switching between the CEN and the DMN. We replicated this causal connectivity pattern in two additional experiments: (i) a visual attention \"oddball\" task and (ii) a task-free resting state. These results indicate that the rFIC is likely to play a major role in switching between distinct brain networks across task paradigms and stimulus modalities. Our findings have important implications for a unified view of network mechanisms underlying both exogenous and endogenous cognitive control. © 2008 by The National Academy of Sciences of the USA.","author":[{"dropping-particle":"","family":"Sridharan","given":"Devarajan","non-dropping-particle":"","parse-names":false,"suffix":""},{"dropping-particle":"","family":"Levitin","given":"Daniel J.","non-dropping-particle":"","parse-names":false,"suffix":""},{"dropping-particle":"","family":"Menon","given":"Vinod","non-dropping-particle":"","parse-names":false,"suffix":""}],"container-title":"Proceedings of the National Academy of Sciences of the United States of America","id":"ITEM-1","issue":"34","issued":{"date-parts":[["2008"]]},"page":"12569-12574","title":"A critical role for the right fronto-insular cortex in switching between central-executive and default-mode networks","type":"article-journal","volume":"105"},"uris":["http://www.mendeley.com/documents/?uuid=5524a4da-9214-452d-99d4-b1f7ae3bedd6"]}],"mendeley":{"formattedCitation":"(Sridharan, Levitin, &amp; Menon, 2008)","plainTextFormattedCitation":"(Sridharan, Levitin, &amp; Menon, 2008)","previouslyFormattedCitation":"(Sridharan, Levitin, &amp; Menon, 2008)"},"properties":{"noteIndex":0},"schema":"https://github.com/citation-style-language/schema/raw/master/csl-citation.json"}</w:instrText>
      </w:r>
      <w:r w:rsidR="005834D9">
        <w:fldChar w:fldCharType="separate"/>
      </w:r>
      <w:r w:rsidR="005834D9" w:rsidRPr="005834D9">
        <w:rPr>
          <w:noProof/>
        </w:rPr>
        <w:t>(Sridharan, Levitin, &amp; Menon, 2008)</w:t>
      </w:r>
      <w:r w:rsidR="005834D9">
        <w:fldChar w:fldCharType="end"/>
      </w:r>
      <w:r w:rsidR="00272C16">
        <w:t>.</w:t>
      </w:r>
    </w:p>
    <w:p w14:paraId="7497E769" w14:textId="25BA2DB8" w:rsidR="009A1274" w:rsidRDefault="00912F95" w:rsidP="00620321">
      <w:pPr>
        <w:jc w:val="center"/>
      </w:pPr>
      <w:r>
        <w:rPr>
          <w:noProof/>
        </w:rPr>
        <w:drawing>
          <wp:inline distT="0" distB="0" distL="0" distR="0" wp14:anchorId="7278A563" wp14:editId="276CB7D2">
            <wp:extent cx="4806315" cy="3595950"/>
            <wp:effectExtent l="0" t="0" r="0" b="5080"/>
            <wp:docPr id="1" name="Picture 1" descr="Frontoparietal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oparietal network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535" cy="3603596"/>
                    </a:xfrm>
                    <a:prstGeom prst="rect">
                      <a:avLst/>
                    </a:prstGeom>
                    <a:noFill/>
                    <a:ln>
                      <a:noFill/>
                    </a:ln>
                  </pic:spPr>
                </pic:pic>
              </a:graphicData>
            </a:graphic>
          </wp:inline>
        </w:drawing>
      </w:r>
    </w:p>
    <w:p w14:paraId="7A11AE79" w14:textId="12E2FA27" w:rsidR="00612DCF" w:rsidRDefault="00612DCF">
      <w:r>
        <w:rPr>
          <w:noProof/>
        </w:rPr>
        <w:drawing>
          <wp:inline distT="0" distB="0" distL="0" distR="0" wp14:anchorId="1024075E" wp14:editId="31D7292A">
            <wp:extent cx="5760085" cy="399938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825" cy="4001982"/>
                    </a:xfrm>
                    <a:prstGeom prst="rect">
                      <a:avLst/>
                    </a:prstGeom>
                  </pic:spPr>
                </pic:pic>
              </a:graphicData>
            </a:graphic>
          </wp:inline>
        </w:drawing>
      </w:r>
    </w:p>
    <w:p w14:paraId="4119C053" w14:textId="4C22ABBA" w:rsidR="009A1274" w:rsidRDefault="009A1274">
      <w:r>
        <w:lastRenderedPageBreak/>
        <w:t>For the structural connectome (SC) from diffusion MRI, I am following the B.A.T.M.A.N. tutorial (</w:t>
      </w:r>
      <w:hyperlink r:id="rId14" w:history="1">
        <w:r w:rsidRPr="009A1274">
          <w:rPr>
            <w:rStyle w:val="Hyperlink"/>
          </w:rPr>
          <w:t>https://osf.io/fkyht/</w:t>
        </w:r>
      </w:hyperlink>
      <w:r>
        <w:t xml:space="preserve">), which uses the </w:t>
      </w:r>
      <w:bookmarkStart w:id="0" w:name="_Hlk59454327"/>
      <w:r w:rsidR="006500D5" w:rsidRPr="006500D5">
        <w:rPr>
          <w:i/>
          <w:iCs/>
        </w:rPr>
        <w:t>Human Connectome Project Multi-Modal Parcellation 1.0</w:t>
      </w:r>
      <w:r w:rsidR="006500D5">
        <w:t xml:space="preserve"> </w:t>
      </w:r>
      <w:bookmarkEnd w:id="0"/>
      <w:r w:rsidR="006500D5">
        <w:t>(</w:t>
      </w:r>
      <w:r>
        <w:t>H</w:t>
      </w:r>
      <w:r w:rsidR="00C95054">
        <w:t>CP MMP 1.0</w:t>
      </w:r>
      <w:r w:rsidR="006500D5">
        <w:t>)</w:t>
      </w:r>
      <w:r w:rsidR="00C95054">
        <w:t xml:space="preserve"> </w:t>
      </w:r>
      <w:r>
        <w:t>atlas to parcellate the brain (</w:t>
      </w:r>
      <w:r w:rsidR="00C95054">
        <w:t xml:space="preserve">Glasser et al., 2016 - </w:t>
      </w:r>
      <w:hyperlink r:id="rId15" w:history="1">
        <w:r w:rsidR="001D129E" w:rsidRPr="00240827">
          <w:rPr>
            <w:rStyle w:val="Hyperlink"/>
            <w:lang w:val="en-US"/>
          </w:rPr>
          <w:t>https://doi.org/10.1038/nature18933</w:t>
        </w:r>
      </w:hyperlink>
      <w:r>
        <w:rPr>
          <w:lang w:val="en-US"/>
        </w:rPr>
        <w:t>).</w:t>
      </w:r>
      <w:r w:rsidR="00B21B16">
        <w:rPr>
          <w:lang w:val="en-US"/>
        </w:rPr>
        <w:t xml:space="preserve"> Specific details of the their parcellation of these interested regions can be found in their Supplementary Neuroanatomical Results section, as </w:t>
      </w:r>
      <w:hyperlink r:id="rId16" w:history="1">
        <w:r w:rsidR="00B21B16" w:rsidRPr="00B21B16">
          <w:rPr>
            <w:rStyle w:val="Hyperlink"/>
            <w:lang w:val="en-US"/>
          </w:rPr>
          <w:t>he</w:t>
        </w:r>
        <w:r w:rsidR="00B21B16" w:rsidRPr="00B21B16">
          <w:rPr>
            <w:rStyle w:val="Hyperlink"/>
            <w:lang w:val="en-US"/>
          </w:rPr>
          <w:t>r</w:t>
        </w:r>
        <w:r w:rsidR="00B21B16" w:rsidRPr="00B21B16">
          <w:rPr>
            <w:rStyle w:val="Hyperlink"/>
            <w:lang w:val="en-US"/>
          </w:rPr>
          <w:t>e</w:t>
        </w:r>
      </w:hyperlink>
      <w:r w:rsidR="00B21B16">
        <w:rPr>
          <w:lang w:val="en-US"/>
        </w:rPr>
        <w:t>.</w:t>
      </w:r>
    </w:p>
    <w:p w14:paraId="09763E7D" w14:textId="77777777" w:rsidR="00523041" w:rsidRDefault="00523041"/>
    <w:p w14:paraId="197AB9AB" w14:textId="265E048D" w:rsidR="0098689C" w:rsidRDefault="00424F72">
      <w:r>
        <w:t>Following</w:t>
      </w:r>
      <w:r w:rsidR="00523041">
        <w:t xml:space="preserve"> their paper (Glasser et al., 2016), w</w:t>
      </w:r>
      <w:r w:rsidR="00A81AB7">
        <w:t xml:space="preserve">e have subdivided </w:t>
      </w:r>
      <w:r w:rsidR="00620321">
        <w:t>these regions of the FPN in the tables below.</w:t>
      </w:r>
      <w:r w:rsidR="00AA3E9F">
        <w:t xml:space="preserve"> </w:t>
      </w:r>
      <w:r w:rsidR="00AA3E9F" w:rsidRPr="00617C29">
        <w:rPr>
          <w:b/>
          <w:bCs/>
          <w:lang w:val="en-US"/>
        </w:rPr>
        <w:t>41 nodes</w:t>
      </w:r>
      <w:r w:rsidR="00AA3E9F">
        <w:rPr>
          <w:lang w:val="en-US"/>
        </w:rPr>
        <w:t xml:space="preserve"> have been selected, therefore with </w:t>
      </w:r>
      <w:r w:rsidR="00AA3E9F">
        <w:rPr>
          <w:lang w:val="en-US"/>
        </w:rPr>
        <w:t xml:space="preserve">a total of </w:t>
      </w:r>
      <w:r w:rsidR="00AA3E9F" w:rsidRPr="00617C29">
        <w:rPr>
          <w:b/>
          <w:bCs/>
          <w:lang w:val="en-US"/>
        </w:rPr>
        <w:t>82 nodes</w:t>
      </w:r>
      <w:r w:rsidR="00AA3E9F">
        <w:rPr>
          <w:lang w:val="en-US"/>
        </w:rPr>
        <w:t xml:space="preserve">, </w:t>
      </w:r>
      <w:r w:rsidR="00AA3E9F">
        <w:rPr>
          <w:lang w:val="en-US"/>
        </w:rPr>
        <w:t>to account</w:t>
      </w:r>
      <w:r w:rsidR="00AA3E9F">
        <w:rPr>
          <w:lang w:val="en-US"/>
        </w:rPr>
        <w:t xml:space="preserve"> for the left and right </w:t>
      </w:r>
      <w:r w:rsidR="00AA3E9F">
        <w:rPr>
          <w:lang w:val="en-US"/>
        </w:rPr>
        <w:t xml:space="preserve">brain </w:t>
      </w:r>
      <w:r w:rsidR="00AA3E9F">
        <w:rPr>
          <w:lang w:val="en-US"/>
        </w:rPr>
        <w:t>hemisphere</w:t>
      </w:r>
      <w:r w:rsidR="00AA3E9F">
        <w:rPr>
          <w:lang w:val="en-US"/>
        </w:rPr>
        <w:t>.</w:t>
      </w:r>
      <w:r w:rsidR="00620321">
        <w:t xml:space="preserve"> </w:t>
      </w:r>
      <w:r w:rsidR="0098689C">
        <w:t xml:space="preserve">Accompanying brain images </w:t>
      </w:r>
      <w:r w:rsidR="00C24597">
        <w:t xml:space="preserve">for reference of the regions of interest </w:t>
      </w:r>
      <w:r w:rsidR="0098689C">
        <w:t xml:space="preserve">are from the free software, </w:t>
      </w:r>
      <w:proofErr w:type="spellStart"/>
      <w:r w:rsidR="0098689C">
        <w:t>BrainVoyager</w:t>
      </w:r>
      <w:proofErr w:type="spellEnd"/>
      <w:r w:rsidR="003D1BBB">
        <w:t xml:space="preserve"> Brain Tutor Ver 2.5</w:t>
      </w:r>
      <w:r w:rsidR="0098689C">
        <w:t>.</w:t>
      </w:r>
    </w:p>
    <w:p w14:paraId="598C0D39" w14:textId="503394EA" w:rsidR="00620321" w:rsidRDefault="0098689C">
      <w:r>
        <w:t xml:space="preserve"> </w:t>
      </w:r>
      <w:r>
        <w:rPr>
          <w:noProof/>
        </w:rPr>
        <w:drawing>
          <wp:inline distT="0" distB="0" distL="0" distR="0" wp14:anchorId="2EEB6978" wp14:editId="1839FBB6">
            <wp:extent cx="4857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361950"/>
                    </a:xfrm>
                    <a:prstGeom prst="rect">
                      <a:avLst/>
                    </a:prstGeom>
                  </pic:spPr>
                </pic:pic>
              </a:graphicData>
            </a:graphic>
          </wp:inline>
        </w:drawing>
      </w:r>
    </w:p>
    <w:p w14:paraId="07B8853D" w14:textId="77777777" w:rsidR="00620321" w:rsidRDefault="00620321">
      <w:pPr>
        <w:rPr>
          <w:b/>
          <w:bCs/>
        </w:rPr>
      </w:pPr>
    </w:p>
    <w:p w14:paraId="1AAA3206" w14:textId="198E05DA" w:rsidR="00A81AB7" w:rsidRDefault="00620321">
      <w:r>
        <w:t xml:space="preserve">The </w:t>
      </w:r>
      <w:r w:rsidR="0023084B" w:rsidRPr="0023084B">
        <w:rPr>
          <w:b/>
          <w:bCs/>
        </w:rPr>
        <w:t>dorsolateral prefrontal cortex (</w:t>
      </w:r>
      <w:r w:rsidR="00A81AB7" w:rsidRPr="00620321">
        <w:rPr>
          <w:b/>
          <w:bCs/>
        </w:rPr>
        <w:t>DLPFC</w:t>
      </w:r>
      <w:r w:rsidR="0023084B">
        <w:rPr>
          <w:b/>
          <w:bCs/>
        </w:rPr>
        <w:t>)</w:t>
      </w:r>
      <w:r w:rsidR="00A81AB7" w:rsidRPr="00620321">
        <w:rPr>
          <w:b/>
          <w:bCs/>
        </w:rPr>
        <w:t xml:space="preserve"> </w:t>
      </w:r>
      <w:r>
        <w:t xml:space="preserve">has been divided </w:t>
      </w:r>
      <w:r w:rsidR="00A81AB7">
        <w:t xml:space="preserve">into 13 areas: </w:t>
      </w:r>
    </w:p>
    <w:tbl>
      <w:tblPr>
        <w:tblStyle w:val="TableGrid"/>
        <w:tblW w:w="0" w:type="auto"/>
        <w:tblLook w:val="04A0" w:firstRow="1" w:lastRow="0" w:firstColumn="1" w:lastColumn="0" w:noHBand="0" w:noVBand="1"/>
      </w:tblPr>
      <w:tblGrid>
        <w:gridCol w:w="4508"/>
        <w:gridCol w:w="4508"/>
      </w:tblGrid>
      <w:tr w:rsidR="00EE17E6" w14:paraId="727D0BE5" w14:textId="77777777" w:rsidTr="00EE17E6">
        <w:tc>
          <w:tcPr>
            <w:tcW w:w="4508" w:type="dxa"/>
          </w:tcPr>
          <w:p w14:paraId="6DA10B3F" w14:textId="1D6896CC" w:rsidR="00EE17E6" w:rsidRPr="00EE17E6" w:rsidRDefault="00EE17E6">
            <w:r w:rsidRPr="00EE17E6">
              <w:t>Area</w:t>
            </w:r>
          </w:p>
        </w:tc>
        <w:tc>
          <w:tcPr>
            <w:tcW w:w="4508" w:type="dxa"/>
          </w:tcPr>
          <w:p w14:paraId="5639624D" w14:textId="6920D8A9" w:rsidR="00EE17E6" w:rsidRPr="00EE17E6" w:rsidRDefault="00EE17E6">
            <w:r>
              <w:t>Parcel Index</w:t>
            </w:r>
          </w:p>
        </w:tc>
      </w:tr>
      <w:tr w:rsidR="00EE17E6" w14:paraId="0072DA39" w14:textId="77777777" w:rsidTr="00EE17E6">
        <w:tc>
          <w:tcPr>
            <w:tcW w:w="4508" w:type="dxa"/>
          </w:tcPr>
          <w:p w14:paraId="2D810B41" w14:textId="43FDF7B5" w:rsidR="00EE17E6" w:rsidRPr="00EE17E6" w:rsidRDefault="00EE17E6">
            <w:r>
              <w:t>L_8c, R_8c</w:t>
            </w:r>
          </w:p>
        </w:tc>
        <w:tc>
          <w:tcPr>
            <w:tcW w:w="4508" w:type="dxa"/>
          </w:tcPr>
          <w:p w14:paraId="4A999195" w14:textId="11EF7F1F" w:rsidR="00EE17E6" w:rsidRPr="00EE17E6" w:rsidRDefault="00EE17E6">
            <w:r>
              <w:t>73, 253</w:t>
            </w:r>
          </w:p>
        </w:tc>
      </w:tr>
      <w:tr w:rsidR="00EE17E6" w14:paraId="17695687" w14:textId="77777777" w:rsidTr="00EE17E6">
        <w:tc>
          <w:tcPr>
            <w:tcW w:w="4508" w:type="dxa"/>
          </w:tcPr>
          <w:p w14:paraId="423E4DEC" w14:textId="30DB59A8" w:rsidR="00EE17E6" w:rsidRPr="00EE17E6" w:rsidRDefault="00EE17E6">
            <w:r>
              <w:t>L_</w:t>
            </w:r>
            <w:r w:rsidRPr="00EE17E6">
              <w:t>8Av</w:t>
            </w:r>
            <w:r>
              <w:t>, R_8av</w:t>
            </w:r>
          </w:p>
        </w:tc>
        <w:tc>
          <w:tcPr>
            <w:tcW w:w="4508" w:type="dxa"/>
          </w:tcPr>
          <w:p w14:paraId="6B4028C7" w14:textId="5236346E" w:rsidR="00EE17E6" w:rsidRPr="00EE17E6" w:rsidRDefault="00EE17E6">
            <w:r>
              <w:t>67, 247</w:t>
            </w:r>
          </w:p>
        </w:tc>
      </w:tr>
      <w:tr w:rsidR="00EE17E6" w14:paraId="525C711D" w14:textId="77777777" w:rsidTr="00EE17E6">
        <w:tc>
          <w:tcPr>
            <w:tcW w:w="4508" w:type="dxa"/>
          </w:tcPr>
          <w:p w14:paraId="3F2932D0" w14:textId="3D50D923" w:rsidR="00EE17E6" w:rsidRPr="00EE17E6" w:rsidRDefault="00EE17E6">
            <w:r>
              <w:t>L_</w:t>
            </w:r>
            <w:r w:rsidRPr="00EE17E6">
              <w:t>i6-8</w:t>
            </w:r>
            <w:r>
              <w:t>, R_i6-8</w:t>
            </w:r>
          </w:p>
        </w:tc>
        <w:tc>
          <w:tcPr>
            <w:tcW w:w="4508" w:type="dxa"/>
          </w:tcPr>
          <w:p w14:paraId="2A8F3120" w14:textId="66D6CCE2" w:rsidR="00EE17E6" w:rsidRPr="00EE17E6" w:rsidRDefault="00EE17E6">
            <w:r>
              <w:t>97, 277</w:t>
            </w:r>
          </w:p>
        </w:tc>
      </w:tr>
      <w:tr w:rsidR="00EE17E6" w14:paraId="5C1FCC46" w14:textId="77777777" w:rsidTr="00EE17E6">
        <w:tc>
          <w:tcPr>
            <w:tcW w:w="4508" w:type="dxa"/>
          </w:tcPr>
          <w:p w14:paraId="3F6C533B" w14:textId="50DF5F51" w:rsidR="00EE17E6" w:rsidRPr="00EE17E6" w:rsidRDefault="00EE17E6">
            <w:r>
              <w:t>L_</w:t>
            </w:r>
            <w:r w:rsidRPr="00EE17E6">
              <w:t>s6-8</w:t>
            </w:r>
            <w:r>
              <w:t>, R_s6-8</w:t>
            </w:r>
          </w:p>
        </w:tc>
        <w:tc>
          <w:tcPr>
            <w:tcW w:w="4508" w:type="dxa"/>
          </w:tcPr>
          <w:p w14:paraId="39C1D547" w14:textId="4DA3833F" w:rsidR="00EE17E6" w:rsidRPr="00EE17E6" w:rsidRDefault="00EE17E6">
            <w:r>
              <w:t>98, 278</w:t>
            </w:r>
          </w:p>
        </w:tc>
      </w:tr>
      <w:tr w:rsidR="00EE17E6" w14:paraId="78386315" w14:textId="77777777" w:rsidTr="00EE17E6">
        <w:tc>
          <w:tcPr>
            <w:tcW w:w="4508" w:type="dxa"/>
          </w:tcPr>
          <w:p w14:paraId="4AEC7E35" w14:textId="62F4474C" w:rsidR="00EE17E6" w:rsidRPr="00EE17E6" w:rsidRDefault="00D36119">
            <w:r>
              <w:t>L</w:t>
            </w:r>
            <w:r w:rsidR="00EE17E6">
              <w:t>_</w:t>
            </w:r>
            <w:r w:rsidR="00EE17E6" w:rsidRPr="00EE17E6">
              <w:t>SFL</w:t>
            </w:r>
            <w:r w:rsidR="00EE17E6">
              <w:t xml:space="preserve">, </w:t>
            </w:r>
            <w:r>
              <w:t>R</w:t>
            </w:r>
            <w:r w:rsidR="00EE17E6">
              <w:t>_SFL</w:t>
            </w:r>
          </w:p>
        </w:tc>
        <w:tc>
          <w:tcPr>
            <w:tcW w:w="4508" w:type="dxa"/>
          </w:tcPr>
          <w:p w14:paraId="6DB29CDB" w14:textId="294039A8" w:rsidR="00EE17E6" w:rsidRPr="00EE17E6" w:rsidRDefault="00EE17E6">
            <w:r>
              <w:t>26, 206</w:t>
            </w:r>
          </w:p>
        </w:tc>
      </w:tr>
      <w:tr w:rsidR="00EE17E6" w14:paraId="756AC9FB" w14:textId="77777777" w:rsidTr="00EE17E6">
        <w:tc>
          <w:tcPr>
            <w:tcW w:w="4508" w:type="dxa"/>
          </w:tcPr>
          <w:p w14:paraId="263E21A1" w14:textId="22E371BD" w:rsidR="00EE17E6" w:rsidRPr="00EE17E6" w:rsidRDefault="00EE17E6">
            <w:r>
              <w:t>L_</w:t>
            </w:r>
            <w:r w:rsidRPr="00EE17E6">
              <w:t>8BL</w:t>
            </w:r>
            <w:r>
              <w:t>, R_8BL</w:t>
            </w:r>
          </w:p>
        </w:tc>
        <w:tc>
          <w:tcPr>
            <w:tcW w:w="4508" w:type="dxa"/>
          </w:tcPr>
          <w:p w14:paraId="389CE0D9" w14:textId="22F5BCC9" w:rsidR="00EE17E6" w:rsidRPr="00EE17E6" w:rsidRDefault="00EE17E6">
            <w:r>
              <w:t>70, 250</w:t>
            </w:r>
          </w:p>
        </w:tc>
      </w:tr>
      <w:tr w:rsidR="00EE17E6" w14:paraId="30038373" w14:textId="77777777" w:rsidTr="00EE17E6">
        <w:tc>
          <w:tcPr>
            <w:tcW w:w="4508" w:type="dxa"/>
          </w:tcPr>
          <w:p w14:paraId="1CD3AAA1" w14:textId="54B9832B" w:rsidR="00EE17E6" w:rsidRPr="00EE17E6" w:rsidRDefault="00EE17E6">
            <w:r>
              <w:t>L_</w:t>
            </w:r>
            <w:r w:rsidRPr="00EE17E6">
              <w:t>9p</w:t>
            </w:r>
            <w:r>
              <w:t>, R_9p</w:t>
            </w:r>
          </w:p>
        </w:tc>
        <w:tc>
          <w:tcPr>
            <w:tcW w:w="4508" w:type="dxa"/>
          </w:tcPr>
          <w:p w14:paraId="7F45B37B" w14:textId="77AAB10C" w:rsidR="00EE17E6" w:rsidRPr="00EE17E6" w:rsidRDefault="00EE17E6">
            <w:r>
              <w:t>71, 251</w:t>
            </w:r>
          </w:p>
        </w:tc>
      </w:tr>
      <w:tr w:rsidR="00EE17E6" w14:paraId="1D6595BD" w14:textId="77777777" w:rsidTr="00EE17E6">
        <w:tc>
          <w:tcPr>
            <w:tcW w:w="4508" w:type="dxa"/>
          </w:tcPr>
          <w:p w14:paraId="11D69FBB" w14:textId="1B69A8E7" w:rsidR="00EE17E6" w:rsidRPr="00EE17E6" w:rsidRDefault="00EE17E6">
            <w:r>
              <w:t>L_</w:t>
            </w:r>
            <w:r w:rsidRPr="00EE17E6">
              <w:t>9a</w:t>
            </w:r>
            <w:r>
              <w:t>, R_9a</w:t>
            </w:r>
          </w:p>
        </w:tc>
        <w:tc>
          <w:tcPr>
            <w:tcW w:w="4508" w:type="dxa"/>
          </w:tcPr>
          <w:p w14:paraId="71BA9150" w14:textId="3A670616" w:rsidR="00EE17E6" w:rsidRPr="00EE17E6" w:rsidRDefault="00EE17E6">
            <w:r>
              <w:t>87, 267</w:t>
            </w:r>
          </w:p>
        </w:tc>
      </w:tr>
      <w:tr w:rsidR="00EE17E6" w14:paraId="012578CF" w14:textId="77777777" w:rsidTr="00EE17E6">
        <w:tc>
          <w:tcPr>
            <w:tcW w:w="4508" w:type="dxa"/>
          </w:tcPr>
          <w:p w14:paraId="0CEA2BE2" w14:textId="321DC4F9" w:rsidR="00EE17E6" w:rsidRPr="00EE17E6" w:rsidRDefault="00EE17E6">
            <w:r>
              <w:t>L_</w:t>
            </w:r>
            <w:r w:rsidRPr="00EE17E6">
              <w:t>8Ad</w:t>
            </w:r>
            <w:r>
              <w:t>, R_8Ad</w:t>
            </w:r>
          </w:p>
        </w:tc>
        <w:tc>
          <w:tcPr>
            <w:tcW w:w="4508" w:type="dxa"/>
          </w:tcPr>
          <w:p w14:paraId="0EA23DB1" w14:textId="78604F82" w:rsidR="00EE17E6" w:rsidRPr="00EE17E6" w:rsidRDefault="00EE17E6">
            <w:r>
              <w:t xml:space="preserve">68, </w:t>
            </w:r>
            <w:r w:rsidR="00D2517D">
              <w:t>248</w:t>
            </w:r>
          </w:p>
        </w:tc>
      </w:tr>
      <w:tr w:rsidR="00EE17E6" w14:paraId="546968B3" w14:textId="77777777" w:rsidTr="00EE17E6">
        <w:tc>
          <w:tcPr>
            <w:tcW w:w="4508" w:type="dxa"/>
          </w:tcPr>
          <w:p w14:paraId="18E1F074" w14:textId="2DE13F59" w:rsidR="00EE17E6" w:rsidRPr="00EE17E6" w:rsidRDefault="0079409C">
            <w:r>
              <w:t>L_</w:t>
            </w:r>
            <w:r w:rsidR="00EE17E6" w:rsidRPr="00EE17E6">
              <w:t>p9-46v</w:t>
            </w:r>
            <w:r>
              <w:t>, R_p9-46v</w:t>
            </w:r>
          </w:p>
        </w:tc>
        <w:tc>
          <w:tcPr>
            <w:tcW w:w="4508" w:type="dxa"/>
          </w:tcPr>
          <w:p w14:paraId="2ED249E3" w14:textId="7CF5C324" w:rsidR="00EE17E6" w:rsidRPr="00EE17E6" w:rsidRDefault="00BC65F6">
            <w:r>
              <w:t>83, 263</w:t>
            </w:r>
          </w:p>
        </w:tc>
      </w:tr>
      <w:tr w:rsidR="00EE17E6" w14:paraId="7FE7675E" w14:textId="77777777" w:rsidTr="00EE17E6">
        <w:tc>
          <w:tcPr>
            <w:tcW w:w="4508" w:type="dxa"/>
          </w:tcPr>
          <w:p w14:paraId="4091AACC" w14:textId="1D165F08" w:rsidR="00EE17E6" w:rsidRPr="00EE17E6" w:rsidRDefault="0079409C">
            <w:r>
              <w:t>L_</w:t>
            </w:r>
            <w:r w:rsidR="00EE17E6" w:rsidRPr="00EE17E6">
              <w:t>a9-46v</w:t>
            </w:r>
            <w:r>
              <w:t>, R_a9-46v</w:t>
            </w:r>
          </w:p>
        </w:tc>
        <w:tc>
          <w:tcPr>
            <w:tcW w:w="4508" w:type="dxa"/>
          </w:tcPr>
          <w:p w14:paraId="2F5235D1" w14:textId="3A389F67" w:rsidR="00EE17E6" w:rsidRPr="00EE17E6" w:rsidRDefault="00BC65F6">
            <w:r>
              <w:t>85, 265</w:t>
            </w:r>
          </w:p>
        </w:tc>
      </w:tr>
      <w:tr w:rsidR="00EE17E6" w14:paraId="03CFCF7F" w14:textId="77777777" w:rsidTr="00EE17E6">
        <w:tc>
          <w:tcPr>
            <w:tcW w:w="4508" w:type="dxa"/>
          </w:tcPr>
          <w:p w14:paraId="0AC6ACA6" w14:textId="3925888E" w:rsidR="00EE17E6" w:rsidRPr="00EE17E6" w:rsidRDefault="0079409C">
            <w:r>
              <w:t>L_</w:t>
            </w:r>
            <w:r w:rsidR="00EE17E6" w:rsidRPr="00EE17E6">
              <w:t>46</w:t>
            </w:r>
            <w:r>
              <w:t>, R_46</w:t>
            </w:r>
          </w:p>
        </w:tc>
        <w:tc>
          <w:tcPr>
            <w:tcW w:w="4508" w:type="dxa"/>
          </w:tcPr>
          <w:p w14:paraId="02DA17CD" w14:textId="5FB7CB76" w:rsidR="00EE17E6" w:rsidRPr="00EE17E6" w:rsidRDefault="00BC65F6">
            <w:r>
              <w:t>84, 264</w:t>
            </w:r>
          </w:p>
        </w:tc>
      </w:tr>
      <w:tr w:rsidR="00EE17E6" w14:paraId="1F459FD2" w14:textId="77777777" w:rsidTr="00EE17E6">
        <w:tc>
          <w:tcPr>
            <w:tcW w:w="4508" w:type="dxa"/>
          </w:tcPr>
          <w:p w14:paraId="1660C9C0" w14:textId="72B433BC" w:rsidR="00EE17E6" w:rsidRPr="00EE17E6" w:rsidRDefault="0079409C">
            <w:r>
              <w:t>L_</w:t>
            </w:r>
            <w:r w:rsidR="00EE17E6" w:rsidRPr="00EE17E6">
              <w:t>9-46d</w:t>
            </w:r>
            <w:r>
              <w:t>, R_9-46d</w:t>
            </w:r>
          </w:p>
        </w:tc>
        <w:tc>
          <w:tcPr>
            <w:tcW w:w="4508" w:type="dxa"/>
          </w:tcPr>
          <w:p w14:paraId="1A288366" w14:textId="60262F0B" w:rsidR="00EE17E6" w:rsidRPr="00EE17E6" w:rsidRDefault="00BC65F6">
            <w:r>
              <w:t>86, 266</w:t>
            </w:r>
          </w:p>
        </w:tc>
      </w:tr>
    </w:tbl>
    <w:p w14:paraId="5B016939" w14:textId="538A48E4" w:rsidR="00FF51E3" w:rsidRDefault="00FF51E3"/>
    <w:p w14:paraId="775C2F21" w14:textId="15B9CD82" w:rsidR="00FF51E3" w:rsidRDefault="00B86CD3" w:rsidP="000A0781">
      <w:pPr>
        <w:jc w:val="center"/>
      </w:pPr>
      <w:r>
        <w:rPr>
          <w:noProof/>
        </w:rPr>
        <w:lastRenderedPageBreak/>
        <w:drawing>
          <wp:inline distT="0" distB="0" distL="0" distR="0" wp14:anchorId="6E5A5487" wp14:editId="1FAC6A63">
            <wp:extent cx="4216400" cy="319891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6207" cy="3229115"/>
                    </a:xfrm>
                    <a:prstGeom prst="rect">
                      <a:avLst/>
                    </a:prstGeom>
                  </pic:spPr>
                </pic:pic>
              </a:graphicData>
            </a:graphic>
          </wp:inline>
        </w:drawing>
      </w:r>
    </w:p>
    <w:p w14:paraId="52D5AF7B" w14:textId="7AC476C4" w:rsidR="008D2F76" w:rsidRDefault="00F530B3" w:rsidP="008D2F76">
      <w:r>
        <w:rPr>
          <w:noProof/>
        </w:rPr>
        <w:drawing>
          <wp:inline distT="0" distB="0" distL="0" distR="0" wp14:anchorId="7073F2D4" wp14:editId="2D3CEAC1">
            <wp:extent cx="1649458" cy="14204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4098" cy="1433103"/>
                    </a:xfrm>
                    <a:prstGeom prst="rect">
                      <a:avLst/>
                    </a:prstGeom>
                  </pic:spPr>
                </pic:pic>
              </a:graphicData>
            </a:graphic>
          </wp:inline>
        </w:drawing>
      </w:r>
      <w:r w:rsidR="008D2F76">
        <w:t xml:space="preserve"> </w:t>
      </w:r>
      <w:r>
        <w:t xml:space="preserve">    </w:t>
      </w:r>
      <w:r w:rsidR="006C4C62">
        <w:t xml:space="preserve"> </w:t>
      </w:r>
      <w:r>
        <w:t xml:space="preserve">  </w:t>
      </w:r>
      <w:r w:rsidR="008D2F76">
        <w:t xml:space="preserve">  </w:t>
      </w:r>
      <w:r>
        <w:rPr>
          <w:noProof/>
        </w:rPr>
        <w:drawing>
          <wp:inline distT="0" distB="0" distL="0" distR="0" wp14:anchorId="09A697F0" wp14:editId="48D03C2E">
            <wp:extent cx="1581150" cy="14113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3023" cy="1421961"/>
                    </a:xfrm>
                    <a:prstGeom prst="rect">
                      <a:avLst/>
                    </a:prstGeom>
                  </pic:spPr>
                </pic:pic>
              </a:graphicData>
            </a:graphic>
          </wp:inline>
        </w:drawing>
      </w:r>
      <w:r w:rsidR="008D2F76">
        <w:t xml:space="preserve">  </w:t>
      </w:r>
      <w:r>
        <w:t xml:space="preserve">  </w:t>
      </w:r>
      <w:r w:rsidR="008D2F76">
        <w:t xml:space="preserve"> </w:t>
      </w:r>
      <w:r w:rsidR="006C4C62">
        <w:t xml:space="preserve">   </w:t>
      </w:r>
      <w:r w:rsidR="008D2F76">
        <w:t xml:space="preserve">  </w:t>
      </w:r>
      <w:r>
        <w:rPr>
          <w:noProof/>
        </w:rPr>
        <w:drawing>
          <wp:inline distT="0" distB="0" distL="0" distR="0" wp14:anchorId="3FC21833" wp14:editId="0297C3FA">
            <wp:extent cx="1314450" cy="1439022"/>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5475" cy="1451092"/>
                    </a:xfrm>
                    <a:prstGeom prst="rect">
                      <a:avLst/>
                    </a:prstGeom>
                  </pic:spPr>
                </pic:pic>
              </a:graphicData>
            </a:graphic>
          </wp:inline>
        </w:drawing>
      </w:r>
    </w:p>
    <w:p w14:paraId="79D465DD" w14:textId="77777777" w:rsidR="00163F7D" w:rsidRDefault="00FF51E3" w:rsidP="000A0781">
      <w:pPr>
        <w:jc w:val="center"/>
      </w:pPr>
      <w:r>
        <w:rPr>
          <w:noProof/>
        </w:rPr>
        <w:drawing>
          <wp:inline distT="0" distB="0" distL="0" distR="0" wp14:anchorId="3E20A8AE" wp14:editId="47B13370">
            <wp:extent cx="4540160" cy="28143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4473" cy="2823208"/>
                    </a:xfrm>
                    <a:prstGeom prst="rect">
                      <a:avLst/>
                    </a:prstGeom>
                  </pic:spPr>
                </pic:pic>
              </a:graphicData>
            </a:graphic>
          </wp:inline>
        </w:drawing>
      </w:r>
    </w:p>
    <w:p w14:paraId="78EA5162" w14:textId="18355E3E" w:rsidR="00D33F4E" w:rsidRDefault="00D33F4E">
      <w:r>
        <w:rPr>
          <w:noProof/>
        </w:rPr>
        <w:drawing>
          <wp:inline distT="0" distB="0" distL="0" distR="0" wp14:anchorId="61DB2070" wp14:editId="43358134">
            <wp:extent cx="1846671" cy="1428740"/>
            <wp:effectExtent l="0" t="0" r="127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629" cy="1443407"/>
                    </a:xfrm>
                    <a:prstGeom prst="rect">
                      <a:avLst/>
                    </a:prstGeom>
                  </pic:spPr>
                </pic:pic>
              </a:graphicData>
            </a:graphic>
          </wp:inline>
        </w:drawing>
      </w:r>
      <w:r>
        <w:rPr>
          <w:noProof/>
        </w:rPr>
        <w:t xml:space="preserve">      </w:t>
      </w:r>
      <w:r w:rsidRPr="00D33F4E">
        <w:rPr>
          <w:noProof/>
        </w:rPr>
        <w:t xml:space="preserve"> </w:t>
      </w:r>
      <w:r>
        <w:rPr>
          <w:noProof/>
        </w:rPr>
        <w:drawing>
          <wp:inline distT="0" distB="0" distL="0" distR="0" wp14:anchorId="123F7AC7" wp14:editId="306A41B2">
            <wp:extent cx="1653416" cy="1457034"/>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727" cy="1477576"/>
                    </a:xfrm>
                    <a:prstGeom prst="rect">
                      <a:avLst/>
                    </a:prstGeom>
                  </pic:spPr>
                </pic:pic>
              </a:graphicData>
            </a:graphic>
          </wp:inline>
        </w:drawing>
      </w:r>
      <w:r w:rsidRPr="00D33F4E">
        <w:rPr>
          <w:noProof/>
        </w:rPr>
        <w:t xml:space="preserve"> </w:t>
      </w:r>
      <w:r>
        <w:rPr>
          <w:noProof/>
        </w:rPr>
        <w:t xml:space="preserve">    </w:t>
      </w:r>
      <w:r w:rsidR="006C4C62">
        <w:rPr>
          <w:noProof/>
        </w:rPr>
        <w:t xml:space="preserve">     </w:t>
      </w:r>
      <w:r>
        <w:rPr>
          <w:noProof/>
        </w:rPr>
        <w:drawing>
          <wp:inline distT="0" distB="0" distL="0" distR="0" wp14:anchorId="115F8D66" wp14:editId="76EE7C73">
            <wp:extent cx="1343025" cy="1728692"/>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0848" cy="1764505"/>
                    </a:xfrm>
                    <a:prstGeom prst="rect">
                      <a:avLst/>
                    </a:prstGeom>
                  </pic:spPr>
                </pic:pic>
              </a:graphicData>
            </a:graphic>
          </wp:inline>
        </w:drawing>
      </w:r>
    </w:p>
    <w:p w14:paraId="6A461BD3" w14:textId="77777777" w:rsidR="00D33F4E" w:rsidRDefault="00D33F4E"/>
    <w:p w14:paraId="323B979A" w14:textId="50410ABF" w:rsidR="00FF51E3" w:rsidRDefault="00FF51E3">
      <w:r>
        <w:t>DLPFC</w:t>
      </w:r>
      <w:r w:rsidR="00A91083">
        <w:t xml:space="preserve"> defined by </w:t>
      </w:r>
      <w:r>
        <w:t xml:space="preserve">Brodmann areas - </w:t>
      </w:r>
      <w:r w:rsidR="00B86CD3">
        <w:fldChar w:fldCharType="begin" w:fldLock="1"/>
      </w:r>
      <w:r w:rsidR="00D32533">
        <w:instrText>ADDIN CSL_CITATION {"citationItems":[{"id":"ITEM-1","itemData":{"DOI":"10.1093/cercor/bhs256","ISSN":"10473211","PMID":"22918987","abstract":"The dorsolateral prefrontal cortex (DLPFC) has consistently been implicated in cognitive control of motor behavior. There is, however, considerable variability in the exact location and extension of these activations across functional magnetic resonance imaging (fMRI) experiments. This poses the question of whether this variability reflects sampling error and spatial uncertainty in fMRI experiments or structural and functional heterogeneity of this region. This study shows that the right DLPFC as observed in 4 different experiments tapping executive action control may be subdivided into 2 distinct subregions-an anterior-ventral and a posterior-dorsal one-based on their whole-brain co-activation patterns across neuroimaging studies. Investigation of task-dependent and task-independent connectivity revealed both clusters to be involved in distinct neural networks. The posterior subregion showed increased connectivity with bilateral intraparietal sulci, whereas the anterior subregion showed increased connectivity with the anterior cingulate cortex. Functional characterization with quantitative forward and reverse inferences revealed the anterior network to be more strongly associated with attention and action inhibition processes, whereas the posterior network was more strongly related to action execution and working memory. The present data provide evidence that cognitive action control in the right DLPFC may rely on differentiable neural networks and cognitive functions. © 2012 © The Authors 2012.","author":[{"dropping-particle":"","family":"Cieslik","given":"Edna C.","non-dropping-particle":"","parse-names":false,"suffix":""},{"dropping-particle":"","family":"Zilles","given":"Karl","non-dropping-particle":"","parse-names":false,"suffix":""},{"dropping-particle":"","family":"Caspers","given":"Svenja","non-dropping-particle":"","parse-names":false,"suffix":""},{"dropping-particle":"","family":"Roski","given":"Christian","non-dropping-particle":"","parse-names":false,"suffix":""},{"dropping-particle":"","family":"Kellermann","given":"Tanja S.","non-dropping-particle":"","parse-names":false,"suffix":""},{"dropping-particle":"","family":"Jakobs","given":"Oliver","non-dropping-particle":"","parse-names":false,"suffix":""},{"dropping-particle":"","family":"Langner","given":"Robert","non-dropping-particle":"","parse-names":false,"suffix":""},{"dropping-particle":"","family":"Laird","given":"Angela R.","non-dropping-particle":"","parse-names":false,"suffix":""},{"dropping-particle":"","family":"Fox","given":"Peter T.","non-dropping-particle":"","parse-names":false,"suffix":""},{"dropping-particle":"","family":"Eickhoff","given":"Simon B.","non-dropping-particle":"","parse-names":false,"suffix":""}],"container-title":"Cerebral Cortex","id":"ITEM-1","issue":"11","issued":{"date-parts":[["2013"]]},"page":"2677-2689","title":"Is there one DLPFC in cognitive action control? Evidence for heterogeneity from Co-activation-based parcellation","type":"article-journal","volume":"23"},"uris":["http://www.mendeley.com/documents/?uuid=662e6957-b864-4105-a048-d5f598f78805"]},{"id":"ITEM-2","itemData":{"DOI":"10.1016/j.pscychresns.2009.02.007","PMID":"19545981","author":[{"dropping-particle":"","family":"Sanches","given":"Marsal","non-dropping-particle":"","parse-names":false,"suffix":""},{"dropping-particle":"","family":"Caetano","given":"Sheila","non-dropping-particle":"","parse-names":false,"suffix":""},{"dropping-particle":"","family":"Nicoletti","given":"Mark","non-dropping-particle":"","parse-names":false,"suffix":""},{"dropping-particle":"","family":"Monkul","given":"E Serap","non-dropping-particle":"","parse-names":false,"suffix":""},{"dropping-particle":"","family":"Chen","given":"Hua Hsuan","non-dropping-particle":"","parse-names":false,"suffix":""},{"dropping-particle":"","family":"Hatch","given":"John P","non-dropping-particle":"","parse-names":false,"suffix":""},{"dropping-particle":"","family":"Yeh","given":"Ping-Hong","non-dropping-particle":"","parse-names":false,"suffix":""},{"dropping-particle":"","family":"Mullis","given":"Rachel L","non-dropping-particle":"","parse-names":false,"suffix":""},{"dropping-particle":"","family":"Keshavan","given":"Matcheri S","non-dropping-particle":"","parse-names":false,"suffix":""},{"dropping-particle":"","family":"Rajowska","given":"Grazyna","non-dropping-particle":"","parse-names":false,"suffix":""},{"dropping-particle":"","family":"Soares","given":"Jair C","non-dropping-particle":"","parse-names":false,"suffix":""}],"container-title":"Psychiatry Research - Neuroimaging Neuroimaging","id":"ITEM-2","issue":"2","issued":{"date-parts":[["2009"]]},"page":"150-154","title":"An MRI-based approach for the measurement of the dorsolateral prefrontal cortex in humans","type":"article-journal","volume":"173"},"uris":["http://www.mendeley.com/documents/?uuid=39d8f45c-4981-472d-8b5a-80806b1900cf"]}],"mendeley":{"formattedCitation":"(Cieslik et al., 2013; Sanches et al., 2009)","plainTextFormattedCitation":"(Cieslik et al., 2013; Sanches et al., 2009)","previouslyFormattedCitation":"(Cieslik et al., 2013; Sanches et al., 2009)"},"properties":{"noteIndex":0},"schema":"https://github.com/citation-style-language/schema/raw/master/csl-citation.json"}</w:instrText>
      </w:r>
      <w:r w:rsidR="00B86CD3">
        <w:fldChar w:fldCharType="separate"/>
      </w:r>
      <w:r w:rsidR="0098689C" w:rsidRPr="0098689C">
        <w:rPr>
          <w:noProof/>
        </w:rPr>
        <w:t>(Cieslik et al., 2013; Sanches et al., 2009)</w:t>
      </w:r>
      <w:r w:rsidR="00B86CD3">
        <w:fldChar w:fldCharType="end"/>
      </w:r>
    </w:p>
    <w:p w14:paraId="453C7875" w14:textId="1A72A566" w:rsidR="00EE17E6" w:rsidRDefault="0075453D">
      <w:pPr>
        <w:rPr>
          <w:sz w:val="36"/>
          <w:szCs w:val="36"/>
        </w:rPr>
      </w:pPr>
      <w:r>
        <w:t xml:space="preserve">They are surrounded by areas 55b, FEF, 6a, 6ma, SCEF, 8BM, 9m, 10d, p10p, a10p, a47r, p47r, </w:t>
      </w:r>
      <w:proofErr w:type="spellStart"/>
      <w:r>
        <w:t>IFSa</w:t>
      </w:r>
      <w:proofErr w:type="spellEnd"/>
      <w:r>
        <w:t xml:space="preserve">, </w:t>
      </w:r>
      <w:proofErr w:type="spellStart"/>
      <w:r>
        <w:t>IFSp</w:t>
      </w:r>
      <w:proofErr w:type="spellEnd"/>
      <w:r>
        <w:t xml:space="preserve">, </w:t>
      </w:r>
      <w:proofErr w:type="spellStart"/>
      <w:r>
        <w:t>IFJa</w:t>
      </w:r>
      <w:proofErr w:type="spellEnd"/>
      <w:r>
        <w:t xml:space="preserve">, </w:t>
      </w:r>
      <w:proofErr w:type="spellStart"/>
      <w:r>
        <w:t>IFJp</w:t>
      </w:r>
      <w:proofErr w:type="spellEnd"/>
      <w:r>
        <w:t>, and PEF.</w:t>
      </w:r>
    </w:p>
    <w:p w14:paraId="7F059113" w14:textId="5494AAC4" w:rsidR="00DB64D9" w:rsidRDefault="00DB64D9" w:rsidP="00DB64D9">
      <w:pPr>
        <w:rPr>
          <w:sz w:val="36"/>
          <w:szCs w:val="36"/>
        </w:rPr>
      </w:pPr>
      <w:r>
        <w:t xml:space="preserve">The </w:t>
      </w:r>
      <w:r w:rsidRPr="00DB64D9">
        <w:rPr>
          <w:b/>
          <w:bCs/>
        </w:rPr>
        <w:t>mid cingulate cortex</w:t>
      </w:r>
      <w:r>
        <w:t xml:space="preserve"> </w:t>
      </w:r>
      <w:r>
        <w:t xml:space="preserve">(+ paracentral lobule) </w:t>
      </w:r>
      <w:r>
        <w:t xml:space="preserve">has been identified by </w:t>
      </w:r>
      <w:r>
        <w:t>8</w:t>
      </w:r>
      <w:r>
        <w:t xml:space="preserve"> areas</w:t>
      </w:r>
      <w:r>
        <w:t>:</w:t>
      </w:r>
    </w:p>
    <w:tbl>
      <w:tblPr>
        <w:tblStyle w:val="TableGrid"/>
        <w:tblW w:w="0" w:type="auto"/>
        <w:tblLook w:val="04A0" w:firstRow="1" w:lastRow="0" w:firstColumn="1" w:lastColumn="0" w:noHBand="0" w:noVBand="1"/>
      </w:tblPr>
      <w:tblGrid>
        <w:gridCol w:w="4508"/>
        <w:gridCol w:w="4508"/>
      </w:tblGrid>
      <w:tr w:rsidR="00DB64D9" w14:paraId="590F303A" w14:textId="77777777" w:rsidTr="005F52C9">
        <w:tc>
          <w:tcPr>
            <w:tcW w:w="4508" w:type="dxa"/>
          </w:tcPr>
          <w:p w14:paraId="139B8D73" w14:textId="5F722BD1" w:rsidR="00DB64D9" w:rsidRDefault="00DB64D9" w:rsidP="005F52C9">
            <w:r>
              <w:t>Area</w:t>
            </w:r>
          </w:p>
        </w:tc>
        <w:tc>
          <w:tcPr>
            <w:tcW w:w="4508" w:type="dxa"/>
          </w:tcPr>
          <w:p w14:paraId="518E3EE1" w14:textId="6608F212" w:rsidR="00DB64D9" w:rsidRDefault="00DB64D9" w:rsidP="005F52C9">
            <w:r>
              <w:t>Parcel Index</w:t>
            </w:r>
          </w:p>
        </w:tc>
      </w:tr>
      <w:tr w:rsidR="00DB64D9" w14:paraId="79F36433" w14:textId="77777777" w:rsidTr="005F52C9">
        <w:tc>
          <w:tcPr>
            <w:tcW w:w="4508" w:type="dxa"/>
          </w:tcPr>
          <w:p w14:paraId="36BA0FE4" w14:textId="70B29009" w:rsidR="00DB64D9" w:rsidRDefault="00DB64D9" w:rsidP="005F52C9">
            <w:r>
              <w:t>L_24dd, R_24dd</w:t>
            </w:r>
          </w:p>
        </w:tc>
        <w:tc>
          <w:tcPr>
            <w:tcW w:w="4508" w:type="dxa"/>
          </w:tcPr>
          <w:p w14:paraId="1B006A1C" w14:textId="397888E1" w:rsidR="00DB64D9" w:rsidRDefault="00A92016" w:rsidP="005F52C9">
            <w:r>
              <w:t>40, 220</w:t>
            </w:r>
          </w:p>
        </w:tc>
      </w:tr>
      <w:tr w:rsidR="00DB64D9" w14:paraId="7F038883" w14:textId="77777777" w:rsidTr="005F52C9">
        <w:tc>
          <w:tcPr>
            <w:tcW w:w="4508" w:type="dxa"/>
          </w:tcPr>
          <w:p w14:paraId="0957E2EE" w14:textId="41180179" w:rsidR="00DB64D9" w:rsidRDefault="00DB64D9" w:rsidP="005F52C9">
            <w:r>
              <w:t>L_24dv, R_24dv</w:t>
            </w:r>
          </w:p>
        </w:tc>
        <w:tc>
          <w:tcPr>
            <w:tcW w:w="4508" w:type="dxa"/>
          </w:tcPr>
          <w:p w14:paraId="0BA9753E" w14:textId="0A51B000" w:rsidR="00DB64D9" w:rsidRDefault="00A92016" w:rsidP="005F52C9">
            <w:r>
              <w:t>41, 221</w:t>
            </w:r>
          </w:p>
        </w:tc>
      </w:tr>
      <w:tr w:rsidR="00DB64D9" w14:paraId="5C556039" w14:textId="77777777" w:rsidTr="005F52C9">
        <w:tc>
          <w:tcPr>
            <w:tcW w:w="4508" w:type="dxa"/>
          </w:tcPr>
          <w:p w14:paraId="4599043F" w14:textId="2B3FCD6E" w:rsidR="00DB64D9" w:rsidRDefault="00DB64D9" w:rsidP="005F52C9">
            <w:r>
              <w:t>L_6mp, R_6mp</w:t>
            </w:r>
          </w:p>
        </w:tc>
        <w:tc>
          <w:tcPr>
            <w:tcW w:w="4508" w:type="dxa"/>
          </w:tcPr>
          <w:p w14:paraId="1A44CC11" w14:textId="6834D191" w:rsidR="00DB64D9" w:rsidRDefault="00A92016" w:rsidP="005F52C9">
            <w:r>
              <w:t>55, 235</w:t>
            </w:r>
          </w:p>
        </w:tc>
      </w:tr>
      <w:tr w:rsidR="00DB64D9" w14:paraId="7B469A3A" w14:textId="77777777" w:rsidTr="005F52C9">
        <w:tc>
          <w:tcPr>
            <w:tcW w:w="4508" w:type="dxa"/>
          </w:tcPr>
          <w:p w14:paraId="52593F73" w14:textId="242E8097" w:rsidR="00DB64D9" w:rsidRDefault="00DB64D9" w:rsidP="005F52C9">
            <w:r>
              <w:t>L_6ma, R_6ma</w:t>
            </w:r>
          </w:p>
        </w:tc>
        <w:tc>
          <w:tcPr>
            <w:tcW w:w="4508" w:type="dxa"/>
          </w:tcPr>
          <w:p w14:paraId="44E40953" w14:textId="48FAABA1" w:rsidR="00DB64D9" w:rsidRDefault="00A92016" w:rsidP="005F52C9">
            <w:r>
              <w:t>44, 224</w:t>
            </w:r>
          </w:p>
        </w:tc>
      </w:tr>
      <w:tr w:rsidR="00DB64D9" w14:paraId="105574FB" w14:textId="77777777" w:rsidTr="005F52C9">
        <w:tc>
          <w:tcPr>
            <w:tcW w:w="4508" w:type="dxa"/>
          </w:tcPr>
          <w:p w14:paraId="5E97A48B" w14:textId="6B230475" w:rsidR="00DB64D9" w:rsidRDefault="00DB64D9" w:rsidP="005F52C9">
            <w:r>
              <w:t>L_SCEF, R_SCEF</w:t>
            </w:r>
          </w:p>
        </w:tc>
        <w:tc>
          <w:tcPr>
            <w:tcW w:w="4508" w:type="dxa"/>
          </w:tcPr>
          <w:p w14:paraId="7A9063E6" w14:textId="01D4C45E" w:rsidR="00DB64D9" w:rsidRDefault="00A92016" w:rsidP="005F52C9">
            <w:r>
              <w:t>43, 223</w:t>
            </w:r>
          </w:p>
        </w:tc>
      </w:tr>
      <w:tr w:rsidR="00DB64D9" w14:paraId="3690CA00" w14:textId="77777777" w:rsidTr="005F52C9">
        <w:tc>
          <w:tcPr>
            <w:tcW w:w="4508" w:type="dxa"/>
          </w:tcPr>
          <w:p w14:paraId="39756F91" w14:textId="19B359AB" w:rsidR="00DB64D9" w:rsidRDefault="00DB64D9" w:rsidP="005F52C9">
            <w:r>
              <w:t>L_5m, R_5m</w:t>
            </w:r>
          </w:p>
        </w:tc>
        <w:tc>
          <w:tcPr>
            <w:tcW w:w="4508" w:type="dxa"/>
          </w:tcPr>
          <w:p w14:paraId="6945D1DC" w14:textId="6E8A5574" w:rsidR="00DB64D9" w:rsidRDefault="00A92016" w:rsidP="005F52C9">
            <w:r>
              <w:t>36, 216</w:t>
            </w:r>
          </w:p>
        </w:tc>
      </w:tr>
      <w:tr w:rsidR="00DB64D9" w14:paraId="49794BE6" w14:textId="77777777" w:rsidTr="005F52C9">
        <w:tc>
          <w:tcPr>
            <w:tcW w:w="4508" w:type="dxa"/>
          </w:tcPr>
          <w:p w14:paraId="6BA23D1C" w14:textId="542E0AD5" w:rsidR="00DB64D9" w:rsidRDefault="00DB64D9" w:rsidP="005F52C9">
            <w:r>
              <w:t>L_5L, R_5L</w:t>
            </w:r>
          </w:p>
        </w:tc>
        <w:tc>
          <w:tcPr>
            <w:tcW w:w="4508" w:type="dxa"/>
          </w:tcPr>
          <w:p w14:paraId="4A0F5694" w14:textId="1B690434" w:rsidR="00DB64D9" w:rsidRDefault="00A92016" w:rsidP="005F52C9">
            <w:r>
              <w:t>39, 219</w:t>
            </w:r>
          </w:p>
        </w:tc>
      </w:tr>
      <w:tr w:rsidR="00DB64D9" w14:paraId="3BB800A9" w14:textId="77777777" w:rsidTr="005F52C9">
        <w:tc>
          <w:tcPr>
            <w:tcW w:w="4508" w:type="dxa"/>
          </w:tcPr>
          <w:p w14:paraId="4D61921E" w14:textId="5F8476EA" w:rsidR="00DB64D9" w:rsidRDefault="00DB64D9" w:rsidP="005F52C9">
            <w:r>
              <w:t>L_5mv, R_5mv</w:t>
            </w:r>
          </w:p>
        </w:tc>
        <w:tc>
          <w:tcPr>
            <w:tcW w:w="4508" w:type="dxa"/>
          </w:tcPr>
          <w:p w14:paraId="332F6164" w14:textId="239BBB04" w:rsidR="00DB64D9" w:rsidRDefault="00A92016" w:rsidP="005F52C9">
            <w:r>
              <w:t>37, 217</w:t>
            </w:r>
          </w:p>
        </w:tc>
      </w:tr>
    </w:tbl>
    <w:p w14:paraId="61522BAC" w14:textId="04ECEF78" w:rsidR="00DB64D9" w:rsidRDefault="00DB64D9" w:rsidP="00DB64D9"/>
    <w:p w14:paraId="6FC2D839" w14:textId="29C7454D" w:rsidR="00DB64D9" w:rsidRDefault="00DB64D9" w:rsidP="00DB64D9">
      <w:pPr>
        <w:rPr>
          <w:sz w:val="36"/>
          <w:szCs w:val="36"/>
        </w:rPr>
      </w:pPr>
      <w:r>
        <w:t xml:space="preserve">They are surrounded by areas </w:t>
      </w:r>
      <w:r>
        <w:t xml:space="preserve">4, 3a, 3b, 1, 2, 7AL, 7Am, PCV, 23c, p24pr, p32pr, 8BM, SFL, s6-8, 6a, and 6d. </w:t>
      </w:r>
    </w:p>
    <w:p w14:paraId="0009DBEC" w14:textId="5CBA770F" w:rsidR="00EE17E6" w:rsidRDefault="00296C92" w:rsidP="005053A5">
      <w:pPr>
        <w:jc w:val="center"/>
        <w:rPr>
          <w:sz w:val="36"/>
          <w:szCs w:val="36"/>
        </w:rPr>
      </w:pPr>
      <w:r>
        <w:rPr>
          <w:noProof/>
        </w:rPr>
        <mc:AlternateContent>
          <mc:Choice Requires="wps">
            <w:drawing>
              <wp:anchor distT="45720" distB="45720" distL="114300" distR="114300" simplePos="0" relativeHeight="251659264" behindDoc="0" locked="0" layoutInCell="1" allowOverlap="1" wp14:anchorId="43259EDE" wp14:editId="3A9CCF10">
                <wp:simplePos x="0" y="0"/>
                <wp:positionH relativeFrom="margin">
                  <wp:posOffset>2524125</wp:posOffset>
                </wp:positionH>
                <wp:positionV relativeFrom="paragraph">
                  <wp:posOffset>1612900</wp:posOffset>
                </wp:positionV>
                <wp:extent cx="457200" cy="2571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solidFill>
                            <a:srgbClr val="000000"/>
                          </a:solidFill>
                          <a:miter lim="800000"/>
                          <a:headEnd/>
                          <a:tailEnd/>
                        </a:ln>
                      </wps:spPr>
                      <wps:txbx>
                        <w:txbxContent>
                          <w:p w14:paraId="352E15C8" w14:textId="3EE8FD4B" w:rsidR="00296C92" w:rsidRPr="000F044E" w:rsidRDefault="00296C92" w:rsidP="00296C92">
                            <w:pPr>
                              <w:jc w:val="center"/>
                              <w:rPr>
                                <w:b/>
                                <w:bCs/>
                                <w:color w:val="FF0000"/>
                                <w:lang w:val="en-US"/>
                              </w:rPr>
                            </w:pPr>
                            <w:r w:rsidRPr="000F044E">
                              <w:rPr>
                                <w:b/>
                                <w:bCs/>
                                <w:color w:val="FF0000"/>
                                <w:lang w:val="en-US"/>
                              </w:rPr>
                              <w:t>Mid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259EDE" id="_x0000_t202" coordsize="21600,21600" o:spt="202" path="m,l,21600r21600,l21600,xe">
                <v:stroke joinstyle="miter"/>
                <v:path gradientshapeok="t" o:connecttype="rect"/>
              </v:shapetype>
              <v:shape id="Text Box 2" o:spid="_x0000_s1026" type="#_x0000_t202" style="position:absolute;left:0;text-align:left;margin-left:198.75pt;margin-top:127pt;width:36pt;height:20.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">
                <v:textbox>
                  <w:txbxContent>
                    <w:p w14:paraId="352E15C8" w14:textId="3EE8FD4B" w:rsidR="00296C92" w:rsidRPr="000F044E" w:rsidRDefault="00296C92" w:rsidP="00296C92">
                      <w:pPr>
                        <w:jc w:val="center"/>
                        <w:rPr>
                          <w:b/>
                          <w:bCs/>
                          <w:color w:val="FF0000"/>
                          <w:lang w:val="en-US"/>
                        </w:rPr>
                      </w:pPr>
                      <w:r w:rsidRPr="000F044E">
                        <w:rPr>
                          <w:b/>
                          <w:bCs/>
                          <w:color w:val="FF0000"/>
                          <w:lang w:val="en-US"/>
                        </w:rPr>
                        <w:t>Mid</w:t>
                      </w:r>
                    </w:p>
                  </w:txbxContent>
                </v:textbox>
                <w10:wrap anchorx="margin"/>
              </v:shape>
            </w:pict>
          </mc:Fallback>
        </mc:AlternateContent>
      </w:r>
      <w:r w:rsidR="000A0781">
        <w:rPr>
          <w:noProof/>
        </w:rPr>
        <w:drawing>
          <wp:inline distT="0" distB="0" distL="0" distR="0" wp14:anchorId="3B0E376D" wp14:editId="3E0A4533">
            <wp:extent cx="4146063" cy="28860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322" cy="2902962"/>
                    </a:xfrm>
                    <a:prstGeom prst="rect">
                      <a:avLst/>
                    </a:prstGeom>
                  </pic:spPr>
                </pic:pic>
              </a:graphicData>
            </a:graphic>
          </wp:inline>
        </w:drawing>
      </w:r>
      <w:bookmarkStart w:id="1" w:name="_GoBack"/>
      <w:bookmarkEnd w:id="1"/>
    </w:p>
    <w:p w14:paraId="69F20F5B" w14:textId="0FB4FEF9" w:rsidR="005053A5" w:rsidRDefault="008F1FDF" w:rsidP="008F1FDF">
      <w:pPr>
        <w:rPr>
          <w:sz w:val="36"/>
          <w:szCs w:val="36"/>
        </w:rPr>
      </w:pPr>
      <w:r>
        <w:rPr>
          <w:noProof/>
        </w:rPr>
        <w:drawing>
          <wp:inline distT="0" distB="0" distL="0" distR="0" wp14:anchorId="00601BCE" wp14:editId="2C7380EE">
            <wp:extent cx="1827616" cy="164716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1817" cy="1668978"/>
                    </a:xfrm>
                    <a:prstGeom prst="rect">
                      <a:avLst/>
                    </a:prstGeom>
                  </pic:spPr>
                </pic:pic>
              </a:graphicData>
            </a:graphic>
          </wp:inline>
        </w:drawing>
      </w:r>
      <w:r w:rsidRPr="008F1FDF">
        <w:rPr>
          <w:noProof/>
        </w:rPr>
        <w:t xml:space="preserve"> </w:t>
      </w:r>
      <w:r>
        <w:rPr>
          <w:noProof/>
        </w:rPr>
        <w:t xml:space="preserve">          </w:t>
      </w:r>
      <w:r>
        <w:rPr>
          <w:noProof/>
        </w:rPr>
        <w:drawing>
          <wp:inline distT="0" distB="0" distL="0" distR="0" wp14:anchorId="5B9547AC" wp14:editId="68EE5E19">
            <wp:extent cx="1535597" cy="16408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4218" cy="1660737"/>
                    </a:xfrm>
                    <a:prstGeom prst="rect">
                      <a:avLst/>
                    </a:prstGeom>
                  </pic:spPr>
                </pic:pic>
              </a:graphicData>
            </a:graphic>
          </wp:inline>
        </w:drawing>
      </w:r>
      <w:r w:rsidRPr="008F1FDF">
        <w:rPr>
          <w:noProof/>
        </w:rPr>
        <w:t xml:space="preserve"> </w:t>
      </w:r>
      <w:r>
        <w:rPr>
          <w:noProof/>
        </w:rPr>
        <w:t xml:space="preserve">           </w:t>
      </w:r>
      <w:r>
        <w:rPr>
          <w:noProof/>
        </w:rPr>
        <w:drawing>
          <wp:inline distT="0" distB="0" distL="0" distR="0" wp14:anchorId="127013C4" wp14:editId="7B9C79A8">
            <wp:extent cx="1390628" cy="1657124"/>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3000" cy="1671867"/>
                    </a:xfrm>
                    <a:prstGeom prst="rect">
                      <a:avLst/>
                    </a:prstGeom>
                  </pic:spPr>
                </pic:pic>
              </a:graphicData>
            </a:graphic>
          </wp:inline>
        </w:drawing>
      </w:r>
    </w:p>
    <w:p w14:paraId="5A6FC938" w14:textId="73CA9EF2" w:rsidR="004A1BC5" w:rsidRDefault="00480953">
      <w:r>
        <w:t xml:space="preserve">The </w:t>
      </w:r>
      <w:r w:rsidRPr="00620321">
        <w:rPr>
          <w:b/>
          <w:bCs/>
        </w:rPr>
        <w:t>superior parietal cortex</w:t>
      </w:r>
      <w:r>
        <w:t xml:space="preserve"> </w:t>
      </w:r>
      <w:r w:rsidR="009561FA" w:rsidRPr="002E7CC5">
        <w:rPr>
          <w:b/>
          <w:bCs/>
        </w:rPr>
        <w:t xml:space="preserve">+ </w:t>
      </w:r>
      <w:r w:rsidR="002E7CC5" w:rsidRPr="002E7CC5">
        <w:rPr>
          <w:b/>
          <w:bCs/>
        </w:rPr>
        <w:t>intraparietal sulcus (IPS)</w:t>
      </w:r>
      <w:r w:rsidR="00B81097">
        <w:rPr>
          <w:b/>
          <w:bCs/>
        </w:rPr>
        <w:t>*</w:t>
      </w:r>
      <w:r w:rsidR="002E7CC5">
        <w:t xml:space="preserve"> </w:t>
      </w:r>
      <w:r>
        <w:t>has been divided in these 10 areas:</w:t>
      </w:r>
    </w:p>
    <w:tbl>
      <w:tblPr>
        <w:tblStyle w:val="TableGrid"/>
        <w:tblW w:w="0" w:type="auto"/>
        <w:tblLook w:val="04A0" w:firstRow="1" w:lastRow="0" w:firstColumn="1" w:lastColumn="0" w:noHBand="0" w:noVBand="1"/>
      </w:tblPr>
      <w:tblGrid>
        <w:gridCol w:w="4508"/>
        <w:gridCol w:w="4508"/>
      </w:tblGrid>
      <w:tr w:rsidR="004A1BC5" w14:paraId="1F9ADD6F" w14:textId="77777777" w:rsidTr="004A1BC5">
        <w:tc>
          <w:tcPr>
            <w:tcW w:w="4508" w:type="dxa"/>
          </w:tcPr>
          <w:p w14:paraId="3F5B3F34" w14:textId="577C4A9E" w:rsidR="004A1BC5" w:rsidRDefault="00A4631E">
            <w:r>
              <w:t>Area</w:t>
            </w:r>
          </w:p>
        </w:tc>
        <w:tc>
          <w:tcPr>
            <w:tcW w:w="4508" w:type="dxa"/>
          </w:tcPr>
          <w:p w14:paraId="2A948ABA" w14:textId="740119A4" w:rsidR="004A1BC5" w:rsidRDefault="00A4631E">
            <w:r>
              <w:t>Parcel Index</w:t>
            </w:r>
          </w:p>
        </w:tc>
      </w:tr>
      <w:tr w:rsidR="004A1BC5" w14:paraId="34003F52" w14:textId="77777777" w:rsidTr="004A1BC5">
        <w:tc>
          <w:tcPr>
            <w:tcW w:w="4508" w:type="dxa"/>
          </w:tcPr>
          <w:p w14:paraId="33CA8384" w14:textId="134F1C56" w:rsidR="004A1BC5" w:rsidRDefault="00A4631E">
            <w:proofErr w:type="spellStart"/>
            <w:r>
              <w:t>L_LIPv</w:t>
            </w:r>
            <w:proofErr w:type="spellEnd"/>
            <w:r>
              <w:t xml:space="preserve">, </w:t>
            </w:r>
            <w:proofErr w:type="spellStart"/>
            <w:r>
              <w:t>R_LIPv</w:t>
            </w:r>
            <w:proofErr w:type="spellEnd"/>
            <w:r w:rsidR="00B81097">
              <w:t xml:space="preserve"> *</w:t>
            </w:r>
          </w:p>
        </w:tc>
        <w:tc>
          <w:tcPr>
            <w:tcW w:w="4508" w:type="dxa"/>
          </w:tcPr>
          <w:p w14:paraId="7B242083" w14:textId="42FFDB9A" w:rsidR="004A1BC5" w:rsidRDefault="00A4631E">
            <w:r>
              <w:t>48, 228</w:t>
            </w:r>
          </w:p>
        </w:tc>
      </w:tr>
      <w:tr w:rsidR="004A1BC5" w14:paraId="0C350221" w14:textId="77777777" w:rsidTr="004A1BC5">
        <w:tc>
          <w:tcPr>
            <w:tcW w:w="4508" w:type="dxa"/>
          </w:tcPr>
          <w:p w14:paraId="132DB954" w14:textId="386371C5" w:rsidR="004A1BC5" w:rsidRDefault="00A4631E">
            <w:proofErr w:type="spellStart"/>
            <w:r>
              <w:t>L_LIPd</w:t>
            </w:r>
            <w:proofErr w:type="spellEnd"/>
            <w:r>
              <w:t xml:space="preserve">, </w:t>
            </w:r>
            <w:proofErr w:type="spellStart"/>
            <w:r>
              <w:t>R_LIPd</w:t>
            </w:r>
            <w:proofErr w:type="spellEnd"/>
            <w:r w:rsidR="00B81097">
              <w:t xml:space="preserve"> *</w:t>
            </w:r>
          </w:p>
        </w:tc>
        <w:tc>
          <w:tcPr>
            <w:tcW w:w="4508" w:type="dxa"/>
          </w:tcPr>
          <w:p w14:paraId="5C2B825D" w14:textId="7602697E" w:rsidR="004A1BC5" w:rsidRDefault="00A4631E">
            <w:r>
              <w:t>95, 275</w:t>
            </w:r>
          </w:p>
        </w:tc>
      </w:tr>
      <w:tr w:rsidR="004A1BC5" w14:paraId="38F509AC" w14:textId="77777777" w:rsidTr="004A1BC5">
        <w:tc>
          <w:tcPr>
            <w:tcW w:w="4508" w:type="dxa"/>
          </w:tcPr>
          <w:p w14:paraId="689F6562" w14:textId="42132F5A" w:rsidR="004A1BC5" w:rsidRDefault="00A4631E">
            <w:r>
              <w:t>L_VIP, R_VIP</w:t>
            </w:r>
            <w:r w:rsidR="00B81097">
              <w:t xml:space="preserve"> *</w:t>
            </w:r>
          </w:p>
        </w:tc>
        <w:tc>
          <w:tcPr>
            <w:tcW w:w="4508" w:type="dxa"/>
          </w:tcPr>
          <w:p w14:paraId="46013FAF" w14:textId="519F0251" w:rsidR="004A1BC5" w:rsidRDefault="00A4631E">
            <w:r>
              <w:t>49, 229</w:t>
            </w:r>
          </w:p>
        </w:tc>
      </w:tr>
      <w:tr w:rsidR="004A1BC5" w14:paraId="34735FC8" w14:textId="77777777" w:rsidTr="004A1BC5">
        <w:tc>
          <w:tcPr>
            <w:tcW w:w="4508" w:type="dxa"/>
          </w:tcPr>
          <w:p w14:paraId="2B80D0F2" w14:textId="2DC29E8B" w:rsidR="004A1BC5" w:rsidRDefault="00A4631E">
            <w:r>
              <w:t>L_AIP, R_AIP</w:t>
            </w:r>
            <w:r w:rsidR="00B81097">
              <w:t xml:space="preserve"> *</w:t>
            </w:r>
          </w:p>
        </w:tc>
        <w:tc>
          <w:tcPr>
            <w:tcW w:w="4508" w:type="dxa"/>
          </w:tcPr>
          <w:p w14:paraId="07DC9601" w14:textId="1071E027" w:rsidR="004A1BC5" w:rsidRDefault="00A4631E">
            <w:r>
              <w:t>117, 297</w:t>
            </w:r>
          </w:p>
        </w:tc>
      </w:tr>
      <w:tr w:rsidR="004A1BC5" w14:paraId="50DC204B" w14:textId="77777777" w:rsidTr="004A1BC5">
        <w:tc>
          <w:tcPr>
            <w:tcW w:w="4508" w:type="dxa"/>
          </w:tcPr>
          <w:p w14:paraId="492E5712" w14:textId="74EB956B" w:rsidR="004A1BC5" w:rsidRDefault="00A4631E">
            <w:r>
              <w:t>L_MIP, R_MIP</w:t>
            </w:r>
            <w:r w:rsidR="00B81097">
              <w:t xml:space="preserve"> *</w:t>
            </w:r>
          </w:p>
        </w:tc>
        <w:tc>
          <w:tcPr>
            <w:tcW w:w="4508" w:type="dxa"/>
          </w:tcPr>
          <w:p w14:paraId="11CF1819" w14:textId="5E25E1B6" w:rsidR="004A1BC5" w:rsidRDefault="00A4631E">
            <w:r>
              <w:t>50, 230</w:t>
            </w:r>
          </w:p>
        </w:tc>
      </w:tr>
      <w:tr w:rsidR="004A1BC5" w14:paraId="6FBFDC9D" w14:textId="77777777" w:rsidTr="004A1BC5">
        <w:tc>
          <w:tcPr>
            <w:tcW w:w="4508" w:type="dxa"/>
          </w:tcPr>
          <w:p w14:paraId="27CFB357" w14:textId="2A126903" w:rsidR="004A1BC5" w:rsidRDefault="00A4631E">
            <w:r>
              <w:t>L_7PC, R_7PC</w:t>
            </w:r>
          </w:p>
        </w:tc>
        <w:tc>
          <w:tcPr>
            <w:tcW w:w="4508" w:type="dxa"/>
          </w:tcPr>
          <w:p w14:paraId="661FDF21" w14:textId="6DFAA3E1" w:rsidR="004A1BC5" w:rsidRDefault="00A4631E">
            <w:r>
              <w:t>47, 227</w:t>
            </w:r>
          </w:p>
        </w:tc>
      </w:tr>
      <w:tr w:rsidR="004A1BC5" w14:paraId="261D4ACB" w14:textId="77777777" w:rsidTr="004A1BC5">
        <w:tc>
          <w:tcPr>
            <w:tcW w:w="4508" w:type="dxa"/>
          </w:tcPr>
          <w:p w14:paraId="2E7F54E5" w14:textId="18F81929" w:rsidR="004A1BC5" w:rsidRDefault="00A4631E">
            <w:r>
              <w:t>L_7AL, R_7AL</w:t>
            </w:r>
          </w:p>
        </w:tc>
        <w:tc>
          <w:tcPr>
            <w:tcW w:w="4508" w:type="dxa"/>
          </w:tcPr>
          <w:p w14:paraId="65E8915B" w14:textId="687584A1" w:rsidR="004A1BC5" w:rsidRDefault="00A4631E">
            <w:r>
              <w:t>42, 222</w:t>
            </w:r>
          </w:p>
        </w:tc>
      </w:tr>
      <w:tr w:rsidR="004A1BC5" w14:paraId="55EA461B" w14:textId="77777777" w:rsidTr="004A1BC5">
        <w:tc>
          <w:tcPr>
            <w:tcW w:w="4508" w:type="dxa"/>
          </w:tcPr>
          <w:p w14:paraId="4CCB1574" w14:textId="27B49F0E" w:rsidR="004A1BC5" w:rsidRDefault="00A4631E">
            <w:r>
              <w:lastRenderedPageBreak/>
              <w:t>L_7Am, R_7Am</w:t>
            </w:r>
          </w:p>
        </w:tc>
        <w:tc>
          <w:tcPr>
            <w:tcW w:w="4508" w:type="dxa"/>
          </w:tcPr>
          <w:p w14:paraId="2602D676" w14:textId="17D2C699" w:rsidR="004A1BC5" w:rsidRDefault="00A4631E">
            <w:r>
              <w:t>45, 225</w:t>
            </w:r>
          </w:p>
        </w:tc>
      </w:tr>
      <w:tr w:rsidR="004A1BC5" w14:paraId="2CF700C4" w14:textId="77777777" w:rsidTr="004A1BC5">
        <w:tc>
          <w:tcPr>
            <w:tcW w:w="4508" w:type="dxa"/>
          </w:tcPr>
          <w:p w14:paraId="3B9C99A8" w14:textId="6F9D9536" w:rsidR="004A1BC5" w:rsidRDefault="00A4631E">
            <w:r>
              <w:t>L_7PL, R_7PL</w:t>
            </w:r>
          </w:p>
        </w:tc>
        <w:tc>
          <w:tcPr>
            <w:tcW w:w="4508" w:type="dxa"/>
          </w:tcPr>
          <w:p w14:paraId="01BF8FA9" w14:textId="4FD13ED2" w:rsidR="004A1BC5" w:rsidRDefault="00A4631E">
            <w:r>
              <w:t>46, 226</w:t>
            </w:r>
          </w:p>
        </w:tc>
      </w:tr>
      <w:tr w:rsidR="004A1BC5" w14:paraId="4B574618" w14:textId="77777777" w:rsidTr="004A1BC5">
        <w:tc>
          <w:tcPr>
            <w:tcW w:w="4508" w:type="dxa"/>
          </w:tcPr>
          <w:p w14:paraId="43E29FE8" w14:textId="5D74AA05" w:rsidR="004A1BC5" w:rsidRDefault="00A4631E">
            <w:r>
              <w:t>L_7Pm, R_7Pm</w:t>
            </w:r>
          </w:p>
        </w:tc>
        <w:tc>
          <w:tcPr>
            <w:tcW w:w="4508" w:type="dxa"/>
          </w:tcPr>
          <w:p w14:paraId="681D6923" w14:textId="2222F0DD" w:rsidR="004A1BC5" w:rsidRDefault="00A4631E">
            <w:r>
              <w:t>29, 209</w:t>
            </w:r>
          </w:p>
        </w:tc>
      </w:tr>
    </w:tbl>
    <w:p w14:paraId="3921CF18" w14:textId="25FE072C" w:rsidR="00B81097" w:rsidRDefault="00B81097" w:rsidP="00B81097">
      <w:r>
        <w:t>* IPS regions</w:t>
      </w:r>
    </w:p>
    <w:p w14:paraId="7F10564E" w14:textId="6F1DA5D0" w:rsidR="00523041" w:rsidRPr="00480953" w:rsidRDefault="00480953">
      <w:r w:rsidRPr="00480953">
        <w:t xml:space="preserve">These areas are surrounded by areas IP0, IP1, IP2, </w:t>
      </w:r>
      <w:proofErr w:type="spellStart"/>
      <w:r w:rsidRPr="00480953">
        <w:t>PFm</w:t>
      </w:r>
      <w:proofErr w:type="spellEnd"/>
      <w:r w:rsidRPr="00480953">
        <w:t xml:space="preserve">, PF, </w:t>
      </w:r>
      <w:proofErr w:type="spellStart"/>
      <w:r w:rsidRPr="00480953">
        <w:t>PFt</w:t>
      </w:r>
      <w:proofErr w:type="spellEnd"/>
      <w:r w:rsidRPr="00480953">
        <w:t>, 2, 5L, PCV, 7m, POS2, DVT, and IPS1</w:t>
      </w:r>
    </w:p>
    <w:p w14:paraId="25D17FA8" w14:textId="0ED7C948" w:rsidR="00FF51E3" w:rsidRDefault="00FF51E3" w:rsidP="006C4C62">
      <w:pPr>
        <w:jc w:val="center"/>
      </w:pPr>
      <w:r>
        <w:rPr>
          <w:noProof/>
        </w:rPr>
        <w:drawing>
          <wp:inline distT="0" distB="0" distL="0" distR="0" wp14:anchorId="3C884534" wp14:editId="2F77714C">
            <wp:extent cx="4940935" cy="246773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1273" cy="2472893"/>
                    </a:xfrm>
                    <a:prstGeom prst="rect">
                      <a:avLst/>
                    </a:prstGeom>
                  </pic:spPr>
                </pic:pic>
              </a:graphicData>
            </a:graphic>
          </wp:inline>
        </w:drawing>
      </w:r>
    </w:p>
    <w:p w14:paraId="49D96D45" w14:textId="77777777" w:rsidR="00FF51E3" w:rsidRDefault="00FF51E3" w:rsidP="00480953"/>
    <w:p w14:paraId="551076A2" w14:textId="6BDE4A68" w:rsidR="00620321" w:rsidRDefault="00480953" w:rsidP="00480953">
      <w:pPr>
        <w:rPr>
          <w:sz w:val="36"/>
          <w:szCs w:val="36"/>
        </w:rPr>
      </w:pPr>
      <w:r>
        <w:t xml:space="preserve">The </w:t>
      </w:r>
      <w:r w:rsidRPr="00B94E2F">
        <w:rPr>
          <w:b/>
          <w:bCs/>
        </w:rPr>
        <w:t>inferior parietal cortex</w:t>
      </w:r>
      <w:r>
        <w:t xml:space="preserve"> has been identified by 10 areas</w:t>
      </w:r>
      <w:r w:rsidRPr="00160B84">
        <w:t>:</w:t>
      </w:r>
      <w:r w:rsidRPr="00480953">
        <w:rPr>
          <w:sz w:val="36"/>
          <w:szCs w:val="36"/>
        </w:rPr>
        <w:t xml:space="preserve"> </w:t>
      </w:r>
    </w:p>
    <w:tbl>
      <w:tblPr>
        <w:tblStyle w:val="TableGrid"/>
        <w:tblW w:w="0" w:type="auto"/>
        <w:tblLook w:val="04A0" w:firstRow="1" w:lastRow="0" w:firstColumn="1" w:lastColumn="0" w:noHBand="0" w:noVBand="1"/>
      </w:tblPr>
      <w:tblGrid>
        <w:gridCol w:w="4508"/>
        <w:gridCol w:w="4508"/>
      </w:tblGrid>
      <w:tr w:rsidR="00620321" w14:paraId="6F5A3B3E" w14:textId="77777777" w:rsidTr="005F52C9">
        <w:tc>
          <w:tcPr>
            <w:tcW w:w="4508" w:type="dxa"/>
          </w:tcPr>
          <w:p w14:paraId="49BF7E3A" w14:textId="6C7C53CE" w:rsidR="00620321" w:rsidRDefault="00B94E2F" w:rsidP="005F52C9">
            <w:r>
              <w:t>Area</w:t>
            </w:r>
          </w:p>
        </w:tc>
        <w:tc>
          <w:tcPr>
            <w:tcW w:w="4508" w:type="dxa"/>
          </w:tcPr>
          <w:p w14:paraId="525A5ACD" w14:textId="7EC8150D" w:rsidR="00620321" w:rsidRDefault="00B94E2F" w:rsidP="005F52C9">
            <w:r>
              <w:t>Parcel Index</w:t>
            </w:r>
          </w:p>
        </w:tc>
      </w:tr>
      <w:tr w:rsidR="00620321" w14:paraId="07300894" w14:textId="77777777" w:rsidTr="005F52C9">
        <w:tc>
          <w:tcPr>
            <w:tcW w:w="4508" w:type="dxa"/>
          </w:tcPr>
          <w:p w14:paraId="739FB261" w14:textId="3CBDEDF0" w:rsidR="00620321" w:rsidRDefault="00B70C4D" w:rsidP="005F52C9">
            <w:proofErr w:type="spellStart"/>
            <w:r>
              <w:t>L_PGp</w:t>
            </w:r>
            <w:proofErr w:type="spellEnd"/>
            <w:r>
              <w:t xml:space="preserve">, </w:t>
            </w:r>
            <w:proofErr w:type="spellStart"/>
            <w:r>
              <w:t>R_PGp</w:t>
            </w:r>
            <w:proofErr w:type="spellEnd"/>
          </w:p>
        </w:tc>
        <w:tc>
          <w:tcPr>
            <w:tcW w:w="4508" w:type="dxa"/>
          </w:tcPr>
          <w:p w14:paraId="508B32FE" w14:textId="43FE2FBF" w:rsidR="00620321" w:rsidRDefault="00B70C4D" w:rsidP="005F52C9">
            <w:r>
              <w:t>143, 323</w:t>
            </w:r>
          </w:p>
        </w:tc>
      </w:tr>
      <w:tr w:rsidR="00620321" w14:paraId="7DD308F0" w14:textId="77777777" w:rsidTr="005F52C9">
        <w:tc>
          <w:tcPr>
            <w:tcW w:w="4508" w:type="dxa"/>
          </w:tcPr>
          <w:p w14:paraId="58C5C21F" w14:textId="19E036A9" w:rsidR="00620321" w:rsidRDefault="00B70C4D" w:rsidP="005F52C9">
            <w:r>
              <w:t>L_PGs, R_PGs</w:t>
            </w:r>
          </w:p>
        </w:tc>
        <w:tc>
          <w:tcPr>
            <w:tcW w:w="4508" w:type="dxa"/>
          </w:tcPr>
          <w:p w14:paraId="35B50D7B" w14:textId="583945CA" w:rsidR="00620321" w:rsidRDefault="00B70C4D" w:rsidP="005F52C9">
            <w:r>
              <w:t>151, 331</w:t>
            </w:r>
          </w:p>
        </w:tc>
      </w:tr>
      <w:tr w:rsidR="00620321" w14:paraId="7474D729" w14:textId="77777777" w:rsidTr="005F52C9">
        <w:tc>
          <w:tcPr>
            <w:tcW w:w="4508" w:type="dxa"/>
          </w:tcPr>
          <w:p w14:paraId="240AD68D" w14:textId="03B34130" w:rsidR="00620321" w:rsidRDefault="00B70C4D" w:rsidP="005F52C9">
            <w:proofErr w:type="spellStart"/>
            <w:r>
              <w:t>L_PGi</w:t>
            </w:r>
            <w:proofErr w:type="spellEnd"/>
            <w:r>
              <w:t xml:space="preserve">, </w:t>
            </w:r>
            <w:proofErr w:type="spellStart"/>
            <w:r>
              <w:t>R_PGi</w:t>
            </w:r>
            <w:proofErr w:type="spellEnd"/>
          </w:p>
        </w:tc>
        <w:tc>
          <w:tcPr>
            <w:tcW w:w="4508" w:type="dxa"/>
          </w:tcPr>
          <w:p w14:paraId="4ED5A056" w14:textId="1F3A9B30" w:rsidR="00620321" w:rsidRDefault="00B70C4D" w:rsidP="005F52C9">
            <w:r>
              <w:t>150, 330</w:t>
            </w:r>
          </w:p>
        </w:tc>
      </w:tr>
      <w:tr w:rsidR="00620321" w14:paraId="18F314DD" w14:textId="77777777" w:rsidTr="005F52C9">
        <w:tc>
          <w:tcPr>
            <w:tcW w:w="4508" w:type="dxa"/>
          </w:tcPr>
          <w:p w14:paraId="416F2A85" w14:textId="0055B95E" w:rsidR="00620321" w:rsidRDefault="00B70C4D" w:rsidP="005F52C9">
            <w:proofErr w:type="spellStart"/>
            <w:r>
              <w:t>L_PFm</w:t>
            </w:r>
            <w:proofErr w:type="spellEnd"/>
            <w:r>
              <w:t xml:space="preserve">, </w:t>
            </w:r>
            <w:proofErr w:type="spellStart"/>
            <w:r>
              <w:t>R_PFm</w:t>
            </w:r>
            <w:proofErr w:type="spellEnd"/>
          </w:p>
        </w:tc>
        <w:tc>
          <w:tcPr>
            <w:tcW w:w="4508" w:type="dxa"/>
          </w:tcPr>
          <w:p w14:paraId="60BEF613" w14:textId="2206E7D9" w:rsidR="00620321" w:rsidRDefault="00B70C4D" w:rsidP="005F52C9">
            <w:r>
              <w:t>149, 329</w:t>
            </w:r>
          </w:p>
        </w:tc>
      </w:tr>
      <w:tr w:rsidR="00620321" w14:paraId="22003A77" w14:textId="77777777" w:rsidTr="005F52C9">
        <w:tc>
          <w:tcPr>
            <w:tcW w:w="4508" w:type="dxa"/>
          </w:tcPr>
          <w:p w14:paraId="40743395" w14:textId="0F3EBA48" w:rsidR="00620321" w:rsidRDefault="00B70C4D" w:rsidP="005F52C9">
            <w:r>
              <w:t>L_PF, R_PF</w:t>
            </w:r>
          </w:p>
        </w:tc>
        <w:tc>
          <w:tcPr>
            <w:tcW w:w="4508" w:type="dxa"/>
          </w:tcPr>
          <w:p w14:paraId="44EBB80A" w14:textId="5D07A86F" w:rsidR="00620321" w:rsidRDefault="00B70C4D" w:rsidP="005F52C9">
            <w:r>
              <w:t>148, 328</w:t>
            </w:r>
          </w:p>
        </w:tc>
      </w:tr>
      <w:tr w:rsidR="00620321" w14:paraId="2555535F" w14:textId="77777777" w:rsidTr="005F52C9">
        <w:tc>
          <w:tcPr>
            <w:tcW w:w="4508" w:type="dxa"/>
          </w:tcPr>
          <w:p w14:paraId="7DCFB11B" w14:textId="2EB34371" w:rsidR="00620321" w:rsidRDefault="00B70C4D" w:rsidP="005F52C9">
            <w:proofErr w:type="spellStart"/>
            <w:r>
              <w:t>L_PFt</w:t>
            </w:r>
            <w:proofErr w:type="spellEnd"/>
            <w:r>
              <w:t xml:space="preserve">, </w:t>
            </w:r>
            <w:proofErr w:type="spellStart"/>
            <w:r>
              <w:t>R_PFt</w:t>
            </w:r>
            <w:proofErr w:type="spellEnd"/>
          </w:p>
        </w:tc>
        <w:tc>
          <w:tcPr>
            <w:tcW w:w="4508" w:type="dxa"/>
          </w:tcPr>
          <w:p w14:paraId="23CA5CC2" w14:textId="41FD8542" w:rsidR="00620321" w:rsidRDefault="00B70C4D" w:rsidP="005F52C9">
            <w:r>
              <w:t>116, 296</w:t>
            </w:r>
          </w:p>
        </w:tc>
      </w:tr>
      <w:tr w:rsidR="00620321" w14:paraId="7AED8FCC" w14:textId="77777777" w:rsidTr="005F52C9">
        <w:tc>
          <w:tcPr>
            <w:tcW w:w="4508" w:type="dxa"/>
          </w:tcPr>
          <w:p w14:paraId="556C35A2" w14:textId="2E7E8E44" w:rsidR="00620321" w:rsidRDefault="00B70C4D" w:rsidP="005F52C9">
            <w:proofErr w:type="spellStart"/>
            <w:r>
              <w:lastRenderedPageBreak/>
              <w:t>L_PFop</w:t>
            </w:r>
            <w:proofErr w:type="spellEnd"/>
            <w:r>
              <w:t xml:space="preserve">, </w:t>
            </w:r>
            <w:proofErr w:type="spellStart"/>
            <w:r>
              <w:t>R_PFop</w:t>
            </w:r>
            <w:proofErr w:type="spellEnd"/>
          </w:p>
        </w:tc>
        <w:tc>
          <w:tcPr>
            <w:tcW w:w="4508" w:type="dxa"/>
          </w:tcPr>
          <w:p w14:paraId="335264B0" w14:textId="74ECA22E" w:rsidR="00620321" w:rsidRDefault="00B70C4D" w:rsidP="005F52C9">
            <w:r>
              <w:t>147, 327</w:t>
            </w:r>
          </w:p>
        </w:tc>
      </w:tr>
      <w:tr w:rsidR="00620321" w14:paraId="5BA8CDD5" w14:textId="77777777" w:rsidTr="005F52C9">
        <w:tc>
          <w:tcPr>
            <w:tcW w:w="4508" w:type="dxa"/>
          </w:tcPr>
          <w:p w14:paraId="06B2797A" w14:textId="296C46C2" w:rsidR="00620321" w:rsidRDefault="00B70C4D" w:rsidP="005F52C9">
            <w:r>
              <w:t>L_IP0, R_IP0</w:t>
            </w:r>
            <w:r w:rsidR="00B81097">
              <w:t xml:space="preserve"> *</w:t>
            </w:r>
          </w:p>
        </w:tc>
        <w:tc>
          <w:tcPr>
            <w:tcW w:w="4508" w:type="dxa"/>
          </w:tcPr>
          <w:p w14:paraId="07EAF43F" w14:textId="6F3D5DD7" w:rsidR="00620321" w:rsidRDefault="00B70C4D" w:rsidP="005F52C9">
            <w:r>
              <w:t>146, 326</w:t>
            </w:r>
          </w:p>
        </w:tc>
      </w:tr>
      <w:tr w:rsidR="00620321" w14:paraId="6E6BAC5E" w14:textId="77777777" w:rsidTr="005F52C9">
        <w:tc>
          <w:tcPr>
            <w:tcW w:w="4508" w:type="dxa"/>
          </w:tcPr>
          <w:p w14:paraId="75ED4003" w14:textId="5D2FFF18" w:rsidR="00620321" w:rsidRDefault="00E97569" w:rsidP="005F52C9">
            <w:r>
              <w:t>L_IP1, R_IP1</w:t>
            </w:r>
            <w:r w:rsidR="00B81097">
              <w:t xml:space="preserve"> *</w:t>
            </w:r>
          </w:p>
        </w:tc>
        <w:tc>
          <w:tcPr>
            <w:tcW w:w="4508" w:type="dxa"/>
          </w:tcPr>
          <w:p w14:paraId="29BDB8EA" w14:textId="0F793D8F" w:rsidR="00620321" w:rsidRDefault="00E97569" w:rsidP="005F52C9">
            <w:r>
              <w:t>145, 325</w:t>
            </w:r>
          </w:p>
        </w:tc>
      </w:tr>
      <w:tr w:rsidR="00620321" w14:paraId="15F454C1" w14:textId="77777777" w:rsidTr="005F52C9">
        <w:tc>
          <w:tcPr>
            <w:tcW w:w="4508" w:type="dxa"/>
          </w:tcPr>
          <w:p w14:paraId="33C0774D" w14:textId="3EDC9F62" w:rsidR="00620321" w:rsidRDefault="00E97569" w:rsidP="005F52C9">
            <w:r>
              <w:t>L_IP2, R_IP2</w:t>
            </w:r>
            <w:r w:rsidR="00B81097">
              <w:t xml:space="preserve"> *</w:t>
            </w:r>
          </w:p>
        </w:tc>
        <w:tc>
          <w:tcPr>
            <w:tcW w:w="4508" w:type="dxa"/>
          </w:tcPr>
          <w:p w14:paraId="79ADA733" w14:textId="3DD227BD" w:rsidR="00620321" w:rsidRDefault="00E97569" w:rsidP="005F52C9">
            <w:r>
              <w:t>144, 324</w:t>
            </w:r>
          </w:p>
        </w:tc>
      </w:tr>
    </w:tbl>
    <w:p w14:paraId="7435A9C9" w14:textId="5664A746" w:rsidR="00620321" w:rsidRPr="00B81097" w:rsidRDefault="00B81097" w:rsidP="00480953">
      <w:r>
        <w:t>* IPS regions</w:t>
      </w:r>
    </w:p>
    <w:p w14:paraId="14C43E4D" w14:textId="064413F1" w:rsidR="00523041" w:rsidRPr="005053A5" w:rsidRDefault="00480953">
      <w:r>
        <w:t xml:space="preserve">These areas are surrounded by </w:t>
      </w:r>
      <w:proofErr w:type="spellStart"/>
      <w:r>
        <w:t>PFcm</w:t>
      </w:r>
      <w:proofErr w:type="spellEnd"/>
      <w:r>
        <w:t xml:space="preserve">, OP4, 1, 2, AIP, </w:t>
      </w:r>
      <w:proofErr w:type="spellStart"/>
      <w:r>
        <w:t>LIPd</w:t>
      </w:r>
      <w:proofErr w:type="spellEnd"/>
      <w:r>
        <w:t>, MIP, IPS1, V3B, V3CD, LO3, TPOJ1, TPOJ2, TPOJ3, STV, and PSL.</w:t>
      </w:r>
    </w:p>
    <w:p w14:paraId="7EFDB455" w14:textId="141F1EB4" w:rsidR="00FF51E3" w:rsidRDefault="00FF51E3" w:rsidP="000A0781">
      <w:pPr>
        <w:jc w:val="center"/>
        <w:rPr>
          <w:sz w:val="36"/>
          <w:szCs w:val="36"/>
        </w:rPr>
      </w:pPr>
      <w:r>
        <w:rPr>
          <w:noProof/>
        </w:rPr>
        <w:drawing>
          <wp:inline distT="0" distB="0" distL="0" distR="0" wp14:anchorId="08E98A2E" wp14:editId="475FF7CE">
            <wp:extent cx="5045710" cy="237024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6249" cy="2375194"/>
                    </a:xfrm>
                    <a:prstGeom prst="rect">
                      <a:avLst/>
                    </a:prstGeom>
                  </pic:spPr>
                </pic:pic>
              </a:graphicData>
            </a:graphic>
          </wp:inline>
        </w:drawing>
      </w:r>
    </w:p>
    <w:p w14:paraId="20A67236" w14:textId="77777777" w:rsidR="008F1FDF" w:rsidRDefault="008F1FDF">
      <w:pPr>
        <w:rPr>
          <w:noProof/>
        </w:rPr>
      </w:pPr>
    </w:p>
    <w:p w14:paraId="5BF67F11" w14:textId="77777777" w:rsidR="006C4C62" w:rsidRDefault="006C4C62">
      <w:pPr>
        <w:rPr>
          <w:noProof/>
        </w:rPr>
      </w:pPr>
    </w:p>
    <w:p w14:paraId="2C6EF519" w14:textId="77777777" w:rsidR="006C4C62" w:rsidRDefault="006C4C62">
      <w:pPr>
        <w:rPr>
          <w:noProof/>
        </w:rPr>
      </w:pPr>
    </w:p>
    <w:p w14:paraId="7D1D830E" w14:textId="41198A1A" w:rsidR="006C4C62" w:rsidRDefault="006C4C62">
      <w:pPr>
        <w:rPr>
          <w:noProof/>
        </w:rPr>
      </w:pPr>
      <w:r>
        <w:rPr>
          <w:noProof/>
        </w:rPr>
        <w:drawing>
          <wp:inline distT="0" distB="0" distL="0" distR="0" wp14:anchorId="43940D3D" wp14:editId="0AB1D3CE">
            <wp:extent cx="1819275" cy="160326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9638" cy="1621212"/>
                    </a:xfrm>
                    <a:prstGeom prst="rect">
                      <a:avLst/>
                    </a:prstGeom>
                  </pic:spPr>
                </pic:pic>
              </a:graphicData>
            </a:graphic>
          </wp:inline>
        </w:drawing>
      </w:r>
      <w:r w:rsidRPr="006C4C62">
        <w:rPr>
          <w:noProof/>
        </w:rPr>
        <w:t xml:space="preserve"> </w:t>
      </w:r>
      <w:r>
        <w:rPr>
          <w:noProof/>
        </w:rPr>
        <w:t xml:space="preserve">         </w:t>
      </w:r>
      <w:r>
        <w:rPr>
          <w:noProof/>
        </w:rPr>
        <w:drawing>
          <wp:inline distT="0" distB="0" distL="0" distR="0" wp14:anchorId="56957522" wp14:editId="355B80DF">
            <wp:extent cx="1619250" cy="160883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5614" cy="1644967"/>
                    </a:xfrm>
                    <a:prstGeom prst="rect">
                      <a:avLst/>
                    </a:prstGeom>
                  </pic:spPr>
                </pic:pic>
              </a:graphicData>
            </a:graphic>
          </wp:inline>
        </w:drawing>
      </w:r>
      <w:r w:rsidRPr="006C4C62">
        <w:rPr>
          <w:noProof/>
        </w:rPr>
        <w:t xml:space="preserve"> </w:t>
      </w:r>
      <w:r>
        <w:rPr>
          <w:noProof/>
        </w:rPr>
        <w:t xml:space="preserve">         </w:t>
      </w:r>
      <w:r>
        <w:rPr>
          <w:noProof/>
        </w:rPr>
        <w:drawing>
          <wp:inline distT="0" distB="0" distL="0" distR="0" wp14:anchorId="39F1322C" wp14:editId="5EF03B23">
            <wp:extent cx="1543651" cy="162433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5315" cy="1647127"/>
                    </a:xfrm>
                    <a:prstGeom prst="rect">
                      <a:avLst/>
                    </a:prstGeom>
                  </pic:spPr>
                </pic:pic>
              </a:graphicData>
            </a:graphic>
          </wp:inline>
        </w:drawing>
      </w:r>
    </w:p>
    <w:p w14:paraId="0BD3DFDD" w14:textId="7E477A11" w:rsidR="006C4C62" w:rsidRDefault="006C4C62">
      <w:pPr>
        <w:rPr>
          <w:noProof/>
        </w:rPr>
      </w:pPr>
      <w:r>
        <w:rPr>
          <w:noProof/>
        </w:rPr>
        <w:t xml:space="preserve">Superior </w:t>
      </w:r>
      <w:r w:rsidR="00065650">
        <w:rPr>
          <w:noProof/>
        </w:rPr>
        <w:t xml:space="preserve">(light yellow) </w:t>
      </w:r>
      <w:r>
        <w:rPr>
          <w:noProof/>
        </w:rPr>
        <w:t>and inferior</w:t>
      </w:r>
      <w:r w:rsidR="00065650">
        <w:rPr>
          <w:noProof/>
        </w:rPr>
        <w:t xml:space="preserve"> (darker yellow)</w:t>
      </w:r>
      <w:r>
        <w:rPr>
          <w:noProof/>
        </w:rPr>
        <w:t xml:space="preserve"> parietal lobules. </w:t>
      </w:r>
    </w:p>
    <w:p w14:paraId="1F28B6E3" w14:textId="37BD882A" w:rsidR="008F1FDF" w:rsidRDefault="008F1FDF">
      <w:pPr>
        <w:rPr>
          <w:noProof/>
        </w:rPr>
      </w:pPr>
      <w:r>
        <w:rPr>
          <w:noProof/>
        </w:rPr>
        <w:drawing>
          <wp:inline distT="0" distB="0" distL="0" distR="0" wp14:anchorId="502697FB" wp14:editId="73A14A14">
            <wp:extent cx="4767792" cy="262529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909" cy="2667208"/>
                    </a:xfrm>
                    <a:prstGeom prst="rect">
                      <a:avLst/>
                    </a:prstGeom>
                  </pic:spPr>
                </pic:pic>
              </a:graphicData>
            </a:graphic>
          </wp:inline>
        </w:drawing>
      </w:r>
    </w:p>
    <w:p w14:paraId="08AEE4E0" w14:textId="51C9FCBA" w:rsidR="008F1FDF" w:rsidRDefault="006C4C62" w:rsidP="006C4C62">
      <w:pPr>
        <w:rPr>
          <w:sz w:val="36"/>
          <w:szCs w:val="36"/>
        </w:rPr>
      </w:pPr>
      <w:r>
        <w:rPr>
          <w:noProof/>
        </w:rPr>
        <w:drawing>
          <wp:inline distT="0" distB="0" distL="0" distR="0" wp14:anchorId="3AA6E51E" wp14:editId="7ABD78A3">
            <wp:extent cx="2009775" cy="1593386"/>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3603" cy="1612277"/>
                    </a:xfrm>
                    <a:prstGeom prst="rect">
                      <a:avLst/>
                    </a:prstGeom>
                  </pic:spPr>
                </pic:pic>
              </a:graphicData>
            </a:graphic>
          </wp:inline>
        </w:drawing>
      </w:r>
      <w:r>
        <w:rPr>
          <w:noProof/>
        </w:rPr>
        <w:t xml:space="preserve">       </w:t>
      </w:r>
      <w:r>
        <w:rPr>
          <w:noProof/>
        </w:rPr>
        <w:drawing>
          <wp:inline distT="0" distB="0" distL="0" distR="0" wp14:anchorId="4A96BDD6" wp14:editId="259ACE8B">
            <wp:extent cx="1781175" cy="164041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4627" cy="1652803"/>
                    </a:xfrm>
                    <a:prstGeom prst="rect">
                      <a:avLst/>
                    </a:prstGeom>
                  </pic:spPr>
                </pic:pic>
              </a:graphicData>
            </a:graphic>
          </wp:inline>
        </w:drawing>
      </w:r>
      <w:r w:rsidRPr="006C4C62">
        <w:rPr>
          <w:noProof/>
        </w:rPr>
        <w:t xml:space="preserve"> </w:t>
      </w:r>
      <w:r>
        <w:rPr>
          <w:noProof/>
        </w:rPr>
        <w:t xml:space="preserve">      </w:t>
      </w:r>
      <w:r>
        <w:rPr>
          <w:noProof/>
        </w:rPr>
        <w:drawing>
          <wp:inline distT="0" distB="0" distL="0" distR="0" wp14:anchorId="322F1B4A" wp14:editId="5B723631">
            <wp:extent cx="1457325" cy="169857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481" cy="1720899"/>
                    </a:xfrm>
                    <a:prstGeom prst="rect">
                      <a:avLst/>
                    </a:prstGeom>
                  </pic:spPr>
                </pic:pic>
              </a:graphicData>
            </a:graphic>
          </wp:inline>
        </w:drawing>
      </w:r>
    </w:p>
    <w:p w14:paraId="328D25F6" w14:textId="77777777" w:rsidR="00FF51E3" w:rsidRDefault="00FF51E3">
      <w:pPr>
        <w:rPr>
          <w:sz w:val="36"/>
          <w:szCs w:val="36"/>
        </w:rPr>
      </w:pPr>
    </w:p>
    <w:p w14:paraId="0BCD3327" w14:textId="66A616E5" w:rsidR="006E4919" w:rsidRDefault="006E4919">
      <w:r>
        <w:t>Following Benson et al., 2018, this is sort of how I would like to ‘model’</w:t>
      </w:r>
      <w:r w:rsidR="009E4938">
        <w:t xml:space="preserve"> </w:t>
      </w:r>
      <w:r>
        <w:t xml:space="preserve">the FPN between these nodes of interest: </w:t>
      </w:r>
    </w:p>
    <w:p w14:paraId="025C0934" w14:textId="1AD0FFE6" w:rsidR="006E4919" w:rsidRPr="006E4919" w:rsidRDefault="006E4919">
      <w:r>
        <w:rPr>
          <w:noProof/>
        </w:rPr>
        <w:drawing>
          <wp:inline distT="0" distB="0" distL="0" distR="0" wp14:anchorId="5EF5E555" wp14:editId="1A6BD25C">
            <wp:extent cx="178117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175" cy="2143125"/>
                    </a:xfrm>
                    <a:prstGeom prst="rect">
                      <a:avLst/>
                    </a:prstGeom>
                  </pic:spPr>
                </pic:pic>
              </a:graphicData>
            </a:graphic>
          </wp:inline>
        </w:drawing>
      </w:r>
    </w:p>
    <w:p w14:paraId="70C2EC2A" w14:textId="6C9B1DB6" w:rsidR="006E4919" w:rsidRDefault="00606D6B">
      <w:r>
        <w:t xml:space="preserve">The FPN regions of activation from a metanalysis: </w:t>
      </w:r>
    </w:p>
    <w:p w14:paraId="15CFCBA7" w14:textId="3988F8A9" w:rsidR="00606D6B" w:rsidRDefault="00606D6B">
      <w:r>
        <w:rPr>
          <w:noProof/>
        </w:rPr>
        <w:lastRenderedPageBreak/>
        <w:drawing>
          <wp:inline distT="0" distB="0" distL="0" distR="0" wp14:anchorId="0E3DB91F" wp14:editId="58A47E2A">
            <wp:extent cx="5731510" cy="39604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0495"/>
                    </a:xfrm>
                    <a:prstGeom prst="rect">
                      <a:avLst/>
                    </a:prstGeom>
                  </pic:spPr>
                </pic:pic>
              </a:graphicData>
            </a:graphic>
          </wp:inline>
        </w:drawing>
      </w:r>
    </w:p>
    <w:p w14:paraId="56B83858" w14:textId="717D092E" w:rsidR="00606D6B" w:rsidRDefault="00606D6B">
      <w:r>
        <w:t xml:space="preserve">Global analysis of 193 healthy adults, </w:t>
      </w:r>
      <w:r w:rsidR="005B20E9">
        <w:t>with</w:t>
      </w:r>
      <w:r>
        <w:t xml:space="preserve"> regions </w:t>
      </w:r>
      <w:r w:rsidR="005B20E9">
        <w:t xml:space="preserve">in </w:t>
      </w:r>
      <w:r w:rsidR="005B20E9" w:rsidRPr="005B20E9">
        <w:rPr>
          <w:color w:val="FF0000"/>
        </w:rPr>
        <w:t xml:space="preserve">red </w:t>
      </w:r>
      <w:r w:rsidR="005B20E9">
        <w:t xml:space="preserve">showing </w:t>
      </w:r>
      <w:r>
        <w:t xml:space="preserve">significant activation across all executive function domains, while </w:t>
      </w:r>
      <w:r w:rsidR="005B20E9">
        <w:t xml:space="preserve">regions in </w:t>
      </w:r>
      <w:r w:rsidR="005B20E9" w:rsidRPr="005B20E9">
        <w:rPr>
          <w:color w:val="70AD47" w:themeColor="accent6"/>
        </w:rPr>
        <w:t xml:space="preserve">green </w:t>
      </w:r>
      <w:r w:rsidR="005B20E9">
        <w:t xml:space="preserve">showing </w:t>
      </w:r>
      <w:r>
        <w:t>significant activation</w:t>
      </w:r>
      <w:r w:rsidR="005B20E9">
        <w:t xml:space="preserve"> in conjunction with three domains (flexibility, inhibition, and working memory) from more than nine studies. </w:t>
      </w:r>
      <w:r w:rsidR="00511F74">
        <w:fldChar w:fldCharType="begin" w:fldLock="1"/>
      </w:r>
      <w:r w:rsidR="00511F74">
        <w:instrText>ADDIN CSL_CITATION {"citationItems":[{"id":"ITEM-1","itemData":{"DOI":"10.3758/s13415-011-0083-5.Meta-analytic","abstract":"Classic cognitive theory conceptualizes executive functions as involving multiple specific domains, including initiation, inhibition, working memory, flexibility, planning, and vigilance. Lesion and neuroimaging experiments over the past two decades have suggested that both common and unique processes contribute to executive functions during higher cognition. It has been suggested that a superordinate fronto–cingulo–parietal network supporting cognitive control may also underlie a range of distinct executive functions. To test this hypothesis in the largest sample to date, we used quantitative meta-analytic methods to analyze 193 functional neuroimaging studies of 2,832 healthy individuals, ages 18–60, in which performance on executive function measures was contrasted with an active control condition. A common pattern of activation was observed in the prefrontal, dorsal anterior cingulate, and parietal cortices across executive function domains, supporting the idea that executive functions are supported by a superordinate cognitive control network. However, domain-specific analyses showed some variation in the recruitment of anterior prefrontal cortex, anterior and midcingulate regions, and unique subcortical regions such as the basal ganglia and cerebellum. These results are consistent with the existence of a superordinate cognitive control network in the brain, involving dorsolateral prefrontal, anterior cingulate, and parietal cortices, that supports a broad range of executive functions.","author":[{"dropping-particle":"","family":"Niendam","given":"Tara A","non-dropping-particle":"","parse-names":false,"suffix":""},{"dropping-particle":"","family":"Laird","given":"Angela R","non-dropping-particle":"","parse-names":false,"suffix":""},{"dropping-particle":"","family":"Ray","given":"Kimberly L","non-dropping-particle":"","parse-names":false,"suffix":""},{"dropping-particle":"","family":"Dean","given":"Y Monica","non-dropping-particle":"","parse-names":false,"suffix":""},{"dropping-particle":"","family":"Carter","given":"Cameron S","non-dropping-particle":"","parse-names":false,"suffix":""}],"container-title":"Cognitive, Affective and Behavioral Neuroscience","id":"ITEM-1","issue":"2","issued":{"date-parts":[["2012"]]},"note":"Shows activiation of regions in the executive control network (ECN) per each, specific executive function task (working memory, flexibility, inhibition, initiation, planning).","page":"241-268","title":"Meta-Analytic Evidence for a Superordinate Cognitive Control Network","type":"article-journal","volume":"12"},"uris":["http://www.mendeley.com/documents/?uuid=efb1befc-7a37-4945-b7c1-74280a5e5aba"]}],"mendeley":{"formattedCitation":"(Niendam, Laird, Ray, Dean, &amp; Carter, 2012)","plainTextFormattedCitation":"(Niendam, Laird, Ray, Dean, &amp; Carter, 2012)","previouslyFormattedCitation":"(Niendam, Laird, Ray, Dean, &amp; Carter, 2012)"},"properties":{"noteIndex":0},"schema":"https://github.com/citation-style-language/schema/raw/master/csl-citation.json"}</w:instrText>
      </w:r>
      <w:r w:rsidR="00511F74">
        <w:fldChar w:fldCharType="separate"/>
      </w:r>
      <w:r w:rsidR="00511F74" w:rsidRPr="00511F74">
        <w:rPr>
          <w:noProof/>
        </w:rPr>
        <w:t>(Niendam, Laird, Ray, Dean, &amp; Carter, 2012)</w:t>
      </w:r>
      <w:r w:rsidR="00511F74">
        <w:fldChar w:fldCharType="end"/>
      </w:r>
    </w:p>
    <w:p w14:paraId="64B31B1A" w14:textId="46239BC5" w:rsidR="005B20E9" w:rsidRDefault="005B20E9"/>
    <w:p w14:paraId="5F1BC0E9" w14:textId="6A418593" w:rsidR="005B20E9" w:rsidRDefault="005B20E9">
      <w:r>
        <w:rPr>
          <w:noProof/>
        </w:rPr>
        <w:lastRenderedPageBreak/>
        <w:drawing>
          <wp:inline distT="0" distB="0" distL="0" distR="0" wp14:anchorId="6EAE4040" wp14:editId="74A7848D">
            <wp:extent cx="5731510" cy="3963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63670"/>
                    </a:xfrm>
                    <a:prstGeom prst="rect">
                      <a:avLst/>
                    </a:prstGeom>
                  </pic:spPr>
                </pic:pic>
              </a:graphicData>
            </a:graphic>
          </wp:inline>
        </w:drawing>
      </w:r>
    </w:p>
    <w:p w14:paraId="7FDB6F85" w14:textId="59423511" w:rsidR="005B20E9" w:rsidRDefault="005B20E9">
      <w:r w:rsidRPr="005B20E9">
        <w:rPr>
          <w:color w:val="FF0000"/>
        </w:rPr>
        <w:t xml:space="preserve">Red </w:t>
      </w:r>
      <w:r>
        <w:t>= working memory (78 studies)</w:t>
      </w:r>
    </w:p>
    <w:p w14:paraId="0CEC36ED" w14:textId="75FE274D" w:rsidR="005B20E9" w:rsidRDefault="005B20E9">
      <w:r w:rsidRPr="005B20E9">
        <w:rPr>
          <w:color w:val="00B050"/>
        </w:rPr>
        <w:t xml:space="preserve">Green </w:t>
      </w:r>
      <w:r>
        <w:t>= inhibition (79 studies)</w:t>
      </w:r>
    </w:p>
    <w:p w14:paraId="5A8DE8AD" w14:textId="6F45CFE2" w:rsidR="005B20E9" w:rsidRDefault="005B20E9">
      <w:r w:rsidRPr="005B20E9">
        <w:rPr>
          <w:color w:val="0070C0"/>
        </w:rPr>
        <w:t xml:space="preserve">Blue </w:t>
      </w:r>
      <w:r>
        <w:t>= flexibility (21 studies)</w:t>
      </w:r>
    </w:p>
    <w:p w14:paraId="105EFBD3" w14:textId="4D5C2457" w:rsidR="005B20E9" w:rsidRDefault="005B20E9">
      <w:r w:rsidRPr="005B20E9">
        <w:rPr>
          <w:color w:val="FFFF00"/>
          <w:highlight w:val="black"/>
        </w:rPr>
        <w:t>Yellow</w:t>
      </w:r>
      <w:r w:rsidRPr="005B20E9">
        <w:rPr>
          <w:color w:val="FFFF00"/>
        </w:rPr>
        <w:t xml:space="preserve"> </w:t>
      </w:r>
      <w:r>
        <w:t>= initiation (9 studies)</w:t>
      </w:r>
    </w:p>
    <w:p w14:paraId="0F4955D3" w14:textId="1F6911D1" w:rsidR="005B20E9" w:rsidRDefault="00511F74">
      <w:r>
        <w:fldChar w:fldCharType="begin" w:fldLock="1"/>
      </w:r>
      <w:r>
        <w:instrText>ADDIN CSL_CITATION {"citationItems":[{"id":"ITEM-1","itemData":{"DOI":"10.3758/s13415-011-0083-5.Meta-analytic","abstract":"Classic cognitive theory conceptualizes executive functions as involving multiple specific domains, including initiation, inhibition, working memory, flexibility, planning, and vigilance. Lesion and neuroimaging experiments over the past two decades have suggested that both common and unique processes contribute to executive functions during higher cognition. It has been suggested that a superordinate fronto–cingulo–parietal network supporting cognitive control may also underlie a range of distinct executive functions. To test this hypothesis in the largest sample to date, we used quantitative meta-analytic methods to analyze 193 functional neuroimaging studies of 2,832 healthy individuals, ages 18–60, in which performance on executive function measures was contrasted with an active control condition. A common pattern of activation was observed in the prefrontal, dorsal anterior cingulate, and parietal cortices across executive function domains, supporting the idea that executive functions are supported by a superordinate cognitive control network. However, domain-specific analyses showed some variation in the recruitment of anterior prefrontal cortex, anterior and midcingulate regions, and unique subcortical regions such as the basal ganglia and cerebellum. These results are consistent with the existence of a superordinate cognitive control network in the brain, involving dorsolateral prefrontal, anterior cingulate, and parietal cortices, that supports a broad range of executive functions.","author":[{"dropping-particle":"","family":"Niendam","given":"Tara A","non-dropping-particle":"","parse-names":false,"suffix":""},{"dropping-particle":"","family":"Laird","given":"Angela R","non-dropping-particle":"","parse-names":false,"suffix":""},{"dropping-particle":"","family":"Ray","given":"Kimberly L","non-dropping-particle":"","parse-names":false,"suffix":""},{"dropping-particle":"","family":"Dean","given":"Y Monica","non-dropping-particle":"","parse-names":false,"suffix":""},{"dropping-particle":"","family":"Carter","given":"Cameron S","non-dropping-particle":"","parse-names":false,"suffix":""}],"container-title":"Cognitive, Affective and Behavioral Neuroscience","id":"ITEM-1","issue":"2","issued":{"date-parts":[["2012"]]},"note":"Shows activiation of regions in the executive control network (ECN) per each, specific executive function task (working memory, flexibility, inhibition, initiation, planning).","page":"241-268","title":"Meta-Analytic Evidence for a Superordinate Cognitive Control Network","type":"article-journal","volume":"12"},"uris":["http://www.mendeley.com/documents/?uuid=efb1befc-7a37-4945-b7c1-74280a5e5aba"]}],"mendeley":{"formattedCitation":"(Niendam et al., 2012)","plainTextFormattedCitation":"(Niendam et al., 2012)","previouslyFormattedCitation":"(Niendam et al., 2012)"},"properties":{"noteIndex":0},"schema":"https://github.com/citation-style-language/schema/raw/master/csl-citation.json"}</w:instrText>
      </w:r>
      <w:r>
        <w:fldChar w:fldCharType="separate"/>
      </w:r>
      <w:r w:rsidRPr="00511F74">
        <w:rPr>
          <w:noProof/>
        </w:rPr>
        <w:t>(Niendam et al., 2012)</w:t>
      </w:r>
      <w:r>
        <w:fldChar w:fldCharType="end"/>
      </w:r>
    </w:p>
    <w:p w14:paraId="5DB9D0DA" w14:textId="35D9B79F" w:rsidR="00511F74" w:rsidRPr="00606D6B" w:rsidRDefault="00511F74"/>
    <w:p w14:paraId="4FC15745" w14:textId="10E96554" w:rsidR="006E4919" w:rsidRDefault="00612DCF">
      <w:pPr>
        <w:rPr>
          <w:sz w:val="36"/>
          <w:szCs w:val="36"/>
        </w:rPr>
      </w:pPr>
      <w:r>
        <w:rPr>
          <w:noProof/>
        </w:rPr>
        <w:lastRenderedPageBreak/>
        <w:drawing>
          <wp:inline distT="0" distB="0" distL="0" distR="0" wp14:anchorId="64E0F598" wp14:editId="01DCBFCE">
            <wp:extent cx="5731510" cy="3723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23640"/>
                    </a:xfrm>
                    <a:prstGeom prst="rect">
                      <a:avLst/>
                    </a:prstGeom>
                  </pic:spPr>
                </pic:pic>
              </a:graphicData>
            </a:graphic>
          </wp:inline>
        </w:drawing>
      </w:r>
    </w:p>
    <w:p w14:paraId="2BF1DBD2" w14:textId="77777777" w:rsidR="006E4919" w:rsidRDefault="006E4919">
      <w:pPr>
        <w:rPr>
          <w:sz w:val="36"/>
          <w:szCs w:val="36"/>
        </w:rPr>
      </w:pPr>
    </w:p>
    <w:p w14:paraId="7DD7C451" w14:textId="31E9235C" w:rsidR="00523041" w:rsidRDefault="00523041" w:rsidP="00523041">
      <w:pPr>
        <w:jc w:val="center"/>
        <w:rPr>
          <w:sz w:val="36"/>
          <w:szCs w:val="36"/>
        </w:rPr>
      </w:pPr>
      <w:r w:rsidRPr="00A36E59">
        <w:rPr>
          <w:lang w:val="en-US"/>
        </w:rPr>
        <w:t>References</w:t>
      </w:r>
    </w:p>
    <w:p w14:paraId="130E8F93" w14:textId="77777777" w:rsidR="00F323C7" w:rsidRDefault="00F323C7" w:rsidP="00523041">
      <w:pPr>
        <w:rPr>
          <w:lang w:val="en-US"/>
        </w:rPr>
      </w:pPr>
    </w:p>
    <w:p w14:paraId="03E182F4" w14:textId="1E8161FF" w:rsidR="00F323C7" w:rsidRDefault="00F323C7" w:rsidP="00523041">
      <w:pPr>
        <w:rPr>
          <w:lang w:val="en-US"/>
        </w:rPr>
      </w:pPr>
      <w:r w:rsidRPr="00F323C7">
        <w:rPr>
          <w:lang w:val="en-US"/>
        </w:rPr>
        <w:t xml:space="preserve">Benson, G., Hildebrandt, A., Lange, C., Schwarz, C., </w:t>
      </w:r>
      <w:proofErr w:type="spellStart"/>
      <w:r w:rsidRPr="00F323C7">
        <w:rPr>
          <w:lang w:val="en-US"/>
        </w:rPr>
        <w:t>Köbe</w:t>
      </w:r>
      <w:proofErr w:type="spellEnd"/>
      <w:r w:rsidRPr="00F323C7">
        <w:rPr>
          <w:lang w:val="en-US"/>
        </w:rPr>
        <w:t xml:space="preserve">, T., Sommer, W., … Wirth, M. (2018). Functional connectivity in cognitive control networks mitigates the impact of white matter lesions in the elderly. Alzheimer’s Research and Therapy, 10(1), 1–13. </w:t>
      </w:r>
      <w:r w:rsidR="00D32533" w:rsidRPr="00D32533">
        <w:rPr>
          <w:lang w:val="en-US"/>
        </w:rPr>
        <w:t>https://doi.org/10.1186/s13195-018-0434-3</w:t>
      </w:r>
    </w:p>
    <w:p w14:paraId="780ADC35" w14:textId="416BD6B8" w:rsidR="00D32533" w:rsidRDefault="00D32533" w:rsidP="00523041">
      <w:pPr>
        <w:rPr>
          <w:lang w:val="en-US"/>
        </w:rPr>
      </w:pPr>
      <w:proofErr w:type="spellStart"/>
      <w:r w:rsidRPr="00D32533">
        <w:rPr>
          <w:lang w:val="en-US"/>
        </w:rPr>
        <w:t>Cieslik</w:t>
      </w:r>
      <w:proofErr w:type="spellEnd"/>
      <w:r w:rsidRPr="00D32533">
        <w:rPr>
          <w:lang w:val="en-US"/>
        </w:rPr>
        <w:t xml:space="preserve">, E. C., Zilles, K., </w:t>
      </w:r>
      <w:proofErr w:type="spellStart"/>
      <w:r w:rsidRPr="00D32533">
        <w:rPr>
          <w:lang w:val="en-US"/>
        </w:rPr>
        <w:t>Caspers</w:t>
      </w:r>
      <w:proofErr w:type="spellEnd"/>
      <w:r w:rsidRPr="00D32533">
        <w:rPr>
          <w:lang w:val="en-US"/>
        </w:rPr>
        <w:t xml:space="preserve">, S., </w:t>
      </w:r>
      <w:proofErr w:type="spellStart"/>
      <w:r w:rsidRPr="00D32533">
        <w:rPr>
          <w:lang w:val="en-US"/>
        </w:rPr>
        <w:t>Roski</w:t>
      </w:r>
      <w:proofErr w:type="spellEnd"/>
      <w:r w:rsidRPr="00D32533">
        <w:rPr>
          <w:lang w:val="en-US"/>
        </w:rPr>
        <w:t xml:space="preserve">, C., </w:t>
      </w:r>
      <w:proofErr w:type="spellStart"/>
      <w:r w:rsidRPr="00D32533">
        <w:rPr>
          <w:lang w:val="en-US"/>
        </w:rPr>
        <w:t>Kellermann</w:t>
      </w:r>
      <w:proofErr w:type="spellEnd"/>
      <w:r w:rsidRPr="00D32533">
        <w:rPr>
          <w:lang w:val="en-US"/>
        </w:rPr>
        <w:t xml:space="preserve">, T. S., </w:t>
      </w:r>
      <w:proofErr w:type="spellStart"/>
      <w:r w:rsidRPr="00D32533">
        <w:rPr>
          <w:lang w:val="en-US"/>
        </w:rPr>
        <w:t>Jakobs</w:t>
      </w:r>
      <w:proofErr w:type="spellEnd"/>
      <w:r w:rsidRPr="00D32533">
        <w:rPr>
          <w:lang w:val="en-US"/>
        </w:rPr>
        <w:t>, O., … Eickhoff, S. B. (2013). Is there one DLPFC in cognitive action control? Evidence for heterogeneity from Co-activation-based parcellation. Cerebral Cortex, 23(11), 2677–2689. https://doi.org/10.1093/cercor/bhs256</w:t>
      </w:r>
    </w:p>
    <w:p w14:paraId="3193BBB2" w14:textId="5A26218A" w:rsidR="00523041" w:rsidRPr="00A36E59" w:rsidRDefault="00523041" w:rsidP="00523041">
      <w:pPr>
        <w:rPr>
          <w:lang w:val="en-US"/>
        </w:rPr>
      </w:pPr>
      <w:r w:rsidRPr="00A36E59">
        <w:rPr>
          <w:lang w:val="en-US"/>
        </w:rPr>
        <w:t xml:space="preserve">Glasser, M.F., Coalson, T.S., Robinson, E.C., Hacker, C.D., Harwell, J., Yacoub, E., </w:t>
      </w:r>
      <w:proofErr w:type="spellStart"/>
      <w:r w:rsidRPr="00A36E59">
        <w:rPr>
          <w:lang w:val="en-US"/>
        </w:rPr>
        <w:t>Ugurbil</w:t>
      </w:r>
      <w:proofErr w:type="spellEnd"/>
      <w:r w:rsidRPr="00A36E59">
        <w:rPr>
          <w:lang w:val="en-US"/>
        </w:rPr>
        <w:t>, K.,</w:t>
      </w:r>
      <w:r>
        <w:rPr>
          <w:lang w:val="en-US"/>
        </w:rPr>
        <w:t xml:space="preserve"> </w:t>
      </w:r>
      <w:r w:rsidRPr="00A36E59">
        <w:rPr>
          <w:lang w:val="en-US"/>
        </w:rPr>
        <w:t>Andersson, J., Beckmann, C.F., Jenkinson, M., Smith, S.M., Van Essen, D.C., 2016b. A</w:t>
      </w:r>
      <w:r>
        <w:rPr>
          <w:lang w:val="en-US"/>
        </w:rPr>
        <w:t xml:space="preserve"> </w:t>
      </w:r>
      <w:r w:rsidRPr="00A36E59">
        <w:rPr>
          <w:lang w:val="en-US"/>
        </w:rPr>
        <w:t>multi-modal parcellation of human cerebral cortex. Nature 536, 171–178.</w:t>
      </w:r>
      <w:r>
        <w:rPr>
          <w:lang w:val="en-US"/>
        </w:rPr>
        <w:t xml:space="preserve"> </w:t>
      </w:r>
      <w:r w:rsidRPr="00A36E59">
        <w:rPr>
          <w:lang w:val="en-US"/>
        </w:rPr>
        <w:t>https://doi.org/10.1038/nature18933</w:t>
      </w:r>
    </w:p>
    <w:p w14:paraId="00933D3C" w14:textId="55443CB4" w:rsidR="00511F74" w:rsidRDefault="00511F74" w:rsidP="005834D9">
      <w:r w:rsidRPr="00511F74">
        <w:rPr>
          <w:rFonts w:ascii="Calibri" w:hAnsi="Calibri" w:cs="Calibri"/>
          <w:noProof/>
          <w:szCs w:val="24"/>
        </w:rPr>
        <w:t xml:space="preserve">Niendam, T. A., Laird, A. R., Ray, K. L., Dean, Y. M., &amp; Carter, C. S. (2012). Meta-Analytic Evidence for a Superordinate Cognitive Control Network. </w:t>
      </w:r>
      <w:r w:rsidRPr="00511F74">
        <w:rPr>
          <w:rFonts w:ascii="Calibri" w:hAnsi="Calibri" w:cs="Calibri"/>
          <w:i/>
          <w:iCs/>
          <w:noProof/>
          <w:szCs w:val="24"/>
        </w:rPr>
        <w:t>Cognitive, Affective and Behavioral Neuroscience</w:t>
      </w:r>
      <w:r w:rsidRPr="00511F74">
        <w:rPr>
          <w:rFonts w:ascii="Calibri" w:hAnsi="Calibri" w:cs="Calibri"/>
          <w:noProof/>
          <w:szCs w:val="24"/>
        </w:rPr>
        <w:t xml:space="preserve">, </w:t>
      </w:r>
      <w:r w:rsidRPr="00511F74">
        <w:rPr>
          <w:rFonts w:ascii="Calibri" w:hAnsi="Calibri" w:cs="Calibri"/>
          <w:i/>
          <w:iCs/>
          <w:noProof/>
          <w:szCs w:val="24"/>
        </w:rPr>
        <w:t>12</w:t>
      </w:r>
      <w:r w:rsidRPr="00511F74">
        <w:rPr>
          <w:rFonts w:ascii="Calibri" w:hAnsi="Calibri" w:cs="Calibri"/>
          <w:noProof/>
          <w:szCs w:val="24"/>
        </w:rPr>
        <w:t>(2), 241–268. https://doi.org/10.3758/s13415-011-0083-5.Meta-analytic</w:t>
      </w:r>
    </w:p>
    <w:p w14:paraId="5C15C1AC" w14:textId="79598CE9" w:rsidR="00D32533" w:rsidRDefault="00D32533" w:rsidP="005834D9">
      <w:proofErr w:type="spellStart"/>
      <w:r w:rsidRPr="00D32533">
        <w:t>Sanches</w:t>
      </w:r>
      <w:proofErr w:type="spellEnd"/>
      <w:r w:rsidRPr="00D32533">
        <w:t xml:space="preserve">, M., Caetano, S., Nicoletti, M., </w:t>
      </w:r>
      <w:proofErr w:type="spellStart"/>
      <w:r w:rsidRPr="00D32533">
        <w:t>Monkul</w:t>
      </w:r>
      <w:proofErr w:type="spellEnd"/>
      <w:r w:rsidRPr="00D32533">
        <w:t xml:space="preserve">, E. S., Chen, H. H., Hatch, J. P., … Soares, J. C. (2009). An MRI-based approach for the measurement of the dorsolateral prefrontal cortex in humans. Psychiatry Research - Neuroimaging </w:t>
      </w:r>
      <w:proofErr w:type="spellStart"/>
      <w:r w:rsidRPr="00D32533">
        <w:t>Neuroimaging</w:t>
      </w:r>
      <w:proofErr w:type="spellEnd"/>
      <w:r w:rsidRPr="00D32533">
        <w:t>, 173(2), 150–154. https://doi.org/10.1016/j.pscychresns.2009.02.007</w:t>
      </w:r>
    </w:p>
    <w:p w14:paraId="4EBD8180" w14:textId="66300AA8" w:rsidR="005834D9" w:rsidRPr="005834D9" w:rsidRDefault="005834D9" w:rsidP="005834D9">
      <w:r w:rsidRPr="005834D9">
        <w:t xml:space="preserve">Sridharan, D., Levitin, D. J., &amp; Menon, V. (2008). A critical role for the right </w:t>
      </w:r>
      <w:proofErr w:type="spellStart"/>
      <w:r w:rsidRPr="005834D9">
        <w:t>fronto</w:t>
      </w:r>
      <w:proofErr w:type="spellEnd"/>
      <w:r w:rsidRPr="005834D9">
        <w:t>-insular cortex in switching between central-executive and default-mode networks. Proceedings of the National Academy of Sciences of the United States of America, 105(34), 12569–12574. https://doi.org/10.1073/pnas.0800005105</w:t>
      </w:r>
    </w:p>
    <w:p w14:paraId="03E63534" w14:textId="30D5E9C2" w:rsidR="00523041" w:rsidRPr="005C5824" w:rsidRDefault="005C5824">
      <w:r w:rsidRPr="005C5824">
        <w:t xml:space="preserve">Uddin, L. Q., Yeo, T. B. T., &amp; </w:t>
      </w:r>
      <w:proofErr w:type="spellStart"/>
      <w:r w:rsidRPr="005C5824">
        <w:t>Spreng</w:t>
      </w:r>
      <w:proofErr w:type="spellEnd"/>
      <w:r w:rsidRPr="005C5824">
        <w:t>, N. R. (2019). Towards a universal taxonomy of macro-scale functional human brain networks. Brain Topography, 32(6), 926–942. https://doi.org/10.1007/s10548-019-00744-6</w:t>
      </w:r>
    </w:p>
    <w:sectPr w:rsidR="00523041" w:rsidRPr="005C58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4C799" w14:textId="77777777" w:rsidR="00315F72" w:rsidRDefault="00315F72" w:rsidP="00315F72">
      <w:pPr>
        <w:spacing w:after="0" w:line="240" w:lineRule="auto"/>
      </w:pPr>
      <w:r>
        <w:separator/>
      </w:r>
    </w:p>
  </w:endnote>
  <w:endnote w:type="continuationSeparator" w:id="0">
    <w:p w14:paraId="3DB43947" w14:textId="77777777" w:rsidR="00315F72" w:rsidRDefault="00315F72" w:rsidP="00315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6538B" w14:textId="77777777" w:rsidR="00315F72" w:rsidRDefault="00315F72" w:rsidP="00315F72">
      <w:pPr>
        <w:spacing w:after="0" w:line="240" w:lineRule="auto"/>
      </w:pPr>
      <w:r>
        <w:separator/>
      </w:r>
    </w:p>
  </w:footnote>
  <w:footnote w:type="continuationSeparator" w:id="0">
    <w:p w14:paraId="65175F46" w14:textId="77777777" w:rsidR="00315F72" w:rsidRDefault="00315F72" w:rsidP="00315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3854C3"/>
    <w:multiLevelType w:val="hybridMultilevel"/>
    <w:tmpl w:val="6228EDBA"/>
    <w:lvl w:ilvl="0" w:tplc="968CED7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601B4617"/>
    <w:multiLevelType w:val="hybridMultilevel"/>
    <w:tmpl w:val="41CCBAB0"/>
    <w:lvl w:ilvl="0" w:tplc="553897F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B7"/>
    <w:rsid w:val="00065650"/>
    <w:rsid w:val="000A0781"/>
    <w:rsid w:val="000F044E"/>
    <w:rsid w:val="00160B84"/>
    <w:rsid w:val="00163F7D"/>
    <w:rsid w:val="001A664B"/>
    <w:rsid w:val="001D129E"/>
    <w:rsid w:val="001F621A"/>
    <w:rsid w:val="0023084B"/>
    <w:rsid w:val="00272C16"/>
    <w:rsid w:val="00296C92"/>
    <w:rsid w:val="002A064F"/>
    <w:rsid w:val="002E7CC5"/>
    <w:rsid w:val="00315F72"/>
    <w:rsid w:val="003622E2"/>
    <w:rsid w:val="003D1BBB"/>
    <w:rsid w:val="00424F72"/>
    <w:rsid w:val="00456B86"/>
    <w:rsid w:val="00480953"/>
    <w:rsid w:val="004A1BC5"/>
    <w:rsid w:val="005053A5"/>
    <w:rsid w:val="00511F74"/>
    <w:rsid w:val="00523041"/>
    <w:rsid w:val="005834D9"/>
    <w:rsid w:val="005B20E9"/>
    <w:rsid w:val="005C5824"/>
    <w:rsid w:val="00603916"/>
    <w:rsid w:val="00606D6B"/>
    <w:rsid w:val="00612DCF"/>
    <w:rsid w:val="00620321"/>
    <w:rsid w:val="006500D5"/>
    <w:rsid w:val="00680E87"/>
    <w:rsid w:val="006C4C62"/>
    <w:rsid w:val="006E4919"/>
    <w:rsid w:val="0071667B"/>
    <w:rsid w:val="0075453D"/>
    <w:rsid w:val="0079409C"/>
    <w:rsid w:val="00886D00"/>
    <w:rsid w:val="008D2F76"/>
    <w:rsid w:val="008F1FDF"/>
    <w:rsid w:val="00912F95"/>
    <w:rsid w:val="009561FA"/>
    <w:rsid w:val="0098689C"/>
    <w:rsid w:val="009A1274"/>
    <w:rsid w:val="009C4CE5"/>
    <w:rsid w:val="009E4938"/>
    <w:rsid w:val="00A01E2D"/>
    <w:rsid w:val="00A4631E"/>
    <w:rsid w:val="00A54350"/>
    <w:rsid w:val="00A81AB7"/>
    <w:rsid w:val="00A90B45"/>
    <w:rsid w:val="00A91083"/>
    <w:rsid w:val="00A92016"/>
    <w:rsid w:val="00AA3E9F"/>
    <w:rsid w:val="00B21B16"/>
    <w:rsid w:val="00B70C4D"/>
    <w:rsid w:val="00B73979"/>
    <w:rsid w:val="00B81097"/>
    <w:rsid w:val="00B86CD3"/>
    <w:rsid w:val="00B94E2F"/>
    <w:rsid w:val="00BC65F6"/>
    <w:rsid w:val="00C24597"/>
    <w:rsid w:val="00C55A61"/>
    <w:rsid w:val="00C95054"/>
    <w:rsid w:val="00D2517D"/>
    <w:rsid w:val="00D32533"/>
    <w:rsid w:val="00D33F4E"/>
    <w:rsid w:val="00D36119"/>
    <w:rsid w:val="00D721AB"/>
    <w:rsid w:val="00DB64D9"/>
    <w:rsid w:val="00DE58DF"/>
    <w:rsid w:val="00E0074B"/>
    <w:rsid w:val="00E73A2A"/>
    <w:rsid w:val="00E97569"/>
    <w:rsid w:val="00EE17E6"/>
    <w:rsid w:val="00F323C7"/>
    <w:rsid w:val="00F530B3"/>
    <w:rsid w:val="00F87BB1"/>
    <w:rsid w:val="00FD78B3"/>
    <w:rsid w:val="00FF42AF"/>
    <w:rsid w:val="00FF51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89772"/>
  <w15:chartTrackingRefBased/>
  <w15:docId w15:val="{4C449138-F7DB-47DC-9D8B-06BF30FA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F72"/>
  </w:style>
  <w:style w:type="paragraph" w:styleId="Footer">
    <w:name w:val="footer"/>
    <w:basedOn w:val="Normal"/>
    <w:link w:val="FooterChar"/>
    <w:uiPriority w:val="99"/>
    <w:unhideWhenUsed/>
    <w:rsid w:val="00315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F72"/>
  </w:style>
  <w:style w:type="character" w:styleId="Hyperlink">
    <w:name w:val="Hyperlink"/>
    <w:basedOn w:val="DefaultParagraphFont"/>
    <w:uiPriority w:val="99"/>
    <w:unhideWhenUsed/>
    <w:rsid w:val="009A1274"/>
    <w:rPr>
      <w:color w:val="0563C1" w:themeColor="hyperlink"/>
      <w:u w:val="single"/>
    </w:rPr>
  </w:style>
  <w:style w:type="character" w:styleId="UnresolvedMention">
    <w:name w:val="Unresolved Mention"/>
    <w:basedOn w:val="DefaultParagraphFont"/>
    <w:uiPriority w:val="99"/>
    <w:semiHidden/>
    <w:unhideWhenUsed/>
    <w:rsid w:val="009A1274"/>
    <w:rPr>
      <w:color w:val="605E5C"/>
      <w:shd w:val="clear" w:color="auto" w:fill="E1DFDD"/>
    </w:rPr>
  </w:style>
  <w:style w:type="character" w:styleId="FollowedHyperlink">
    <w:name w:val="FollowedHyperlink"/>
    <w:basedOn w:val="DefaultParagraphFont"/>
    <w:uiPriority w:val="99"/>
    <w:semiHidden/>
    <w:unhideWhenUsed/>
    <w:rsid w:val="009A1274"/>
    <w:rPr>
      <w:color w:val="954F72" w:themeColor="followedHyperlink"/>
      <w:u w:val="single"/>
    </w:rPr>
  </w:style>
  <w:style w:type="table" w:styleId="TableGrid">
    <w:name w:val="Table Grid"/>
    <w:basedOn w:val="TableNormal"/>
    <w:uiPriority w:val="39"/>
    <w:rsid w:val="00EE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static-content.springer.com/esm/art%3A10.1038%2Fnature18933/MediaObjects/41586_2016_BFnature18933_MOESM330_ESM.pd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doi.org/10.1038/nature1893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fkyh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9BB0C-3618-4DDA-ACD5-1B246110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11</Pages>
  <Words>3589</Words>
  <Characters>20462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135</cp:revision>
  <dcterms:created xsi:type="dcterms:W3CDTF">2020-11-10T04:41:00Z</dcterms:created>
  <dcterms:modified xsi:type="dcterms:W3CDTF">2020-12-24T02:38:00Z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