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F0C8" w14:textId="1669FF1D" w:rsidR="00846FA5" w:rsidRPr="00325BB4" w:rsidRDefault="00846FA5" w:rsidP="00846FA5">
      <w:pPr>
        <w:jc w:val="center"/>
        <w:rPr>
          <w:sz w:val="40"/>
          <w:szCs w:val="40"/>
          <w:lang w:val="en-US"/>
        </w:rPr>
      </w:pPr>
      <w:r w:rsidRPr="00325BB4">
        <w:rPr>
          <w:sz w:val="40"/>
          <w:szCs w:val="40"/>
          <w:lang w:val="en-US"/>
        </w:rPr>
        <w:t>Calculating diffusion voxel metrics (e.g., FA, MD, etc.) with MRtrix3</w:t>
      </w:r>
    </w:p>
    <w:p w14:paraId="5389948D" w14:textId="77777777" w:rsidR="000E76DA" w:rsidRDefault="000E76DA" w:rsidP="00846FA5">
      <w:pPr>
        <w:rPr>
          <w:sz w:val="28"/>
          <w:szCs w:val="28"/>
          <w:lang w:val="en-US"/>
        </w:rPr>
      </w:pPr>
    </w:p>
    <w:p w14:paraId="07A3AD55" w14:textId="37E1265D" w:rsidR="000E76DA" w:rsidRPr="00325BB4" w:rsidRDefault="000E76DA" w:rsidP="00846FA5">
      <w:pPr>
        <w:rPr>
          <w:sz w:val="32"/>
          <w:szCs w:val="32"/>
          <w:u w:val="single"/>
          <w:lang w:val="en-US"/>
        </w:rPr>
      </w:pPr>
      <w:proofErr w:type="spellStart"/>
      <w:r w:rsidRPr="00325BB4">
        <w:rPr>
          <w:sz w:val="32"/>
          <w:szCs w:val="32"/>
          <w:u w:val="single"/>
          <w:lang w:val="en-US"/>
        </w:rPr>
        <w:t>Visualise</w:t>
      </w:r>
      <w:proofErr w:type="spellEnd"/>
      <w:r w:rsidRPr="00325BB4">
        <w:rPr>
          <w:sz w:val="32"/>
          <w:szCs w:val="32"/>
          <w:u w:val="single"/>
          <w:lang w:val="en-US"/>
        </w:rPr>
        <w:t xml:space="preserve"> whole-brain DTI metrics</w:t>
      </w:r>
    </w:p>
    <w:p w14:paraId="25676062" w14:textId="112CE952" w:rsidR="000E76DA" w:rsidRPr="00967246" w:rsidRDefault="00967246" w:rsidP="00846FA5">
      <w:pPr>
        <w:rPr>
          <w:lang w:val="en-US"/>
        </w:rPr>
      </w:pPr>
      <w:r>
        <w:rPr>
          <w:lang w:val="en-US"/>
        </w:rPr>
        <w:t>Voxel-based analysis</w:t>
      </w:r>
      <w:r w:rsidR="000B7268">
        <w:rPr>
          <w:lang w:val="en-US"/>
        </w:rPr>
        <w:t xml:space="preserve"> (VBA), </w:t>
      </w:r>
      <w:r>
        <w:rPr>
          <w:lang w:val="en-US"/>
        </w:rPr>
        <w:t xml:space="preserve">similar to </w:t>
      </w:r>
      <w:proofErr w:type="spellStart"/>
      <w:r>
        <w:rPr>
          <w:lang w:val="en-US"/>
        </w:rPr>
        <w:t>fixel</w:t>
      </w:r>
      <w:proofErr w:type="spellEnd"/>
      <w:r>
        <w:rPr>
          <w:lang w:val="en-US"/>
        </w:rPr>
        <w:t>-based analysis</w:t>
      </w:r>
      <w:r w:rsidR="000B7268">
        <w:rPr>
          <w:lang w:val="en-US"/>
        </w:rPr>
        <w:t xml:space="preserve"> (FBA)</w:t>
      </w:r>
      <w:r w:rsidR="004546AB">
        <w:rPr>
          <w:lang w:val="en-US"/>
        </w:rPr>
        <w:t xml:space="preserve">, follows the same principles as threshold-free cluster enhancement permutation testing </w:t>
      </w:r>
      <w:r w:rsidR="004546AB">
        <w:rPr>
          <w:lang w:val="en-US"/>
        </w:rPr>
        <w:fldChar w:fldCharType="begin" w:fldLock="1"/>
      </w:r>
      <w:r w:rsidR="004546AB">
        <w:rPr>
          <w:lang w:val="en-US"/>
        </w:rPr>
        <w:instrText>ADDIN CSL_CITATION {"citationItems":[{"id":"ITEM-1","itemData":{"DOI":"10.1016/j.neuroimage.2014.01.060","ISSN":"10959572","PMID":"24530839","abstract":"Permutation methods can provide exact control of false positives and allow the use of non-standard statistics, making only weak assumptions about the data. With the availability of fast and inexpensive computing, their main limitation would be some lack of flexibility to work with arbitrary experimental designs. In this paper we report on results on approximate permutation methods that are more flexible with respect to the experimental design and nuisance variables, and conduct detailed simulations to identify the best method for settings that are typical for imaging research scenarios. We present a generic framework for permutation inference for complex general linear models (glms) when the errors are exchangeable and/or have a symmetric distribution, and show that, even in the presence of nuisance effects, these permutation inferences are powerful while providing excellent control of false positives in a wide range of common and relevant imaging research scenarios. We also demonstrate how the inference on glm parameters, originally intended for independent data, can be used in certain special but useful cases in which independence is violated. Detailed examples of common neuroimaging applications are provided, as well as a complete algorithm - the \"randomise\" algorithm - for permutation inference with the GLM. © 2014 The Authors.","author":[{"dropping-particle":"","family":"Winkler","given":"Anderson M.","non-dropping-particle":"","parse-names":false,"suffix":""},{"dropping-particle":"","family":"Ridgway","given":"Gerard R.","non-dropping-particle":"","parse-names":false,"suffix":""},{"dropping-particle":"","family":"Webster","given":"Matthew A.","non-dropping-particle":"","parse-names":false,"suffix":""},{"dropping-particle":"","family":"Smith","given":"Stephen M.","non-dropping-particle":"","parse-names":false,"suffix":""},{"dropping-particle":"","family":"Nichols","given":"Thomas E.","non-dropping-particle":"","parse-names":false,"suffix":""}],"container-title":"NeuroImage","id":"ITEM-1","issued":{"date-parts":[["2014"]]},"page":"381-397","publisher":"The Authors","title":"Permutation inference for the general linear model","type":"article-journal","volume":"92"},"uris":["http://www.mendeley.com/documents/?uuid=6c8332de-6f31-417c-8594-ab9209076206"]},{"id":"ITEM-2","itemData":{"DOI":"10.1016/j.neuroimage.2008.03.061","ISSN":"10538119","PMID":"18501637","abstract":"Many image enhancement and thresholding techniques make use of spatial neighbourhood information to boost belief in extended areas of signal. The most common such approach in neuroimaging is cluster-based thresholding, which is often more sensitive than voxel-wise thresholding. However, a limitation is the need to define the initial cluster-forming threshold. This threshold is arbitrary, and yet its exact choice can have a large impact on the results, particularly at the lower (e.g., t, z &lt; 4) cluster-forming thresholds frequently used. Furthermore, the amount of spatial pre-smoothing is also arbitrary (given that the expected signal extent is very rarely known in advance of the analysis). In the light of such problems, we propose a new method which attempts to keep the sensitivity benefits of cluster-based thresholding (and indeed the general concept of \"clusters\" of signal), while avoiding (or at least minimising) these problems. The method takes a raw statistic image and produces an output image in which the voxel-wise values represent the amount of cluster-like local spatial support. The method is thus referred to as \"threshold-free cluster enhancement\" (TFCE). We present the TFCE approach and discuss in detail ROC-based optimisation and comparisons with cluster-based and voxel-based thresholding. We find that TFCE gives generally better sensitivity than other methods over a wide range of test signal shapes and SNR values. We also show an example on a real imaging dataset, suggesting that TFCE does indeed provide not just improved sensitivity, but richer and more interpretable output than cluster-based thresholding. © 2008 Elsevier Inc. All rights reserved.","author":[{"dropping-particle":"","family":"Smith","given":"Stephen M.","non-dropping-particle":"","parse-names":false,"suffix":""},{"dropping-particle":"","family":"Nichols","given":"Thomas E.","non-dropping-particle":"","parse-names":false,"suffix":""}],"container-title":"NeuroImage","id":"ITEM-2","issue":"1","issued":{"date-parts":[["2009"]]},"page":"83-98","publisher":"Elsevier Inc.","title":"Threshold-free cluster enhancement: Addressing problems of smoothing, threshold dependence and localisation in cluster inference","type":"article-journal","volume":"44"},"uris":["http://www.mendeley.com/documents/?uuid=1e2de584-6630-4350-9dff-744c7c3d01cb"]}],"mendeley":{"formattedCitation":"(Smith &amp; Nichols, 2009; Winkler et al., 2014)","plainTextFormattedCitation":"(Smith &amp; Nichols, 2009; Winkler et al., 2014)","previouslyFormattedCitation":"(Winkler et al., 2014)"},"properties":{"noteIndex":0},"schema":"https://github.com/citation-style-language/schema/raw/master/csl-citation.json"}</w:instrText>
      </w:r>
      <w:r w:rsidR="004546AB">
        <w:rPr>
          <w:lang w:val="en-US"/>
        </w:rPr>
        <w:fldChar w:fldCharType="separate"/>
      </w:r>
      <w:r w:rsidR="004546AB" w:rsidRPr="004546AB">
        <w:rPr>
          <w:noProof/>
          <w:lang w:val="en-US"/>
        </w:rPr>
        <w:t>(Smith &amp; Nichols, 2009; Winkler et al., 2014)</w:t>
      </w:r>
      <w:r w:rsidR="004546AB">
        <w:rPr>
          <w:lang w:val="en-US"/>
        </w:rPr>
        <w:fldChar w:fldCharType="end"/>
      </w:r>
      <w:r>
        <w:rPr>
          <w:lang w:val="en-US"/>
        </w:rPr>
        <w:t xml:space="preserve">. </w:t>
      </w:r>
      <w:r w:rsidR="00020EC2">
        <w:rPr>
          <w:lang w:val="en-US"/>
        </w:rPr>
        <w:t xml:space="preserve">This is similar to what </w:t>
      </w:r>
      <w:hyperlink r:id="rId6" w:history="1">
        <w:r w:rsidR="00020EC2" w:rsidRPr="00020EC2">
          <w:rPr>
            <w:rStyle w:val="Hyperlink"/>
            <w:lang w:val="en-US"/>
          </w:rPr>
          <w:t>Mito et al., 2018</w:t>
        </w:r>
      </w:hyperlink>
      <w:r w:rsidR="00020EC2">
        <w:rPr>
          <w:lang w:val="en-US"/>
        </w:rPr>
        <w:t xml:space="preserve"> had done – you can find this in their supplementary files. </w:t>
      </w:r>
    </w:p>
    <w:p w14:paraId="71D40546" w14:textId="37EEBAEE" w:rsidR="000E76DA" w:rsidRPr="00347C02" w:rsidRDefault="00D601E0" w:rsidP="00347C02">
      <w:pPr>
        <w:pStyle w:val="ListParagraph"/>
        <w:numPr>
          <w:ilvl w:val="0"/>
          <w:numId w:val="1"/>
        </w:numPr>
        <w:rPr>
          <w:lang w:val="en-US"/>
        </w:rPr>
      </w:pPr>
      <w:r w:rsidRPr="00347C02">
        <w:rPr>
          <w:lang w:val="en-US"/>
        </w:rPr>
        <w:t xml:space="preserve">You will need to first create an FA (or other DTI metric) map for every participant. You can do this with </w:t>
      </w:r>
      <w:r w:rsidRPr="00347C02">
        <w:rPr>
          <w:color w:val="FF66FF"/>
          <w:lang w:val="en-US"/>
        </w:rPr>
        <w:t>dwi2tensor</w:t>
      </w:r>
      <w:r w:rsidRPr="00347C02">
        <w:rPr>
          <w:lang w:val="en-US"/>
        </w:rPr>
        <w:t xml:space="preserve"> and then </w:t>
      </w:r>
      <w:r w:rsidRPr="00347C02">
        <w:rPr>
          <w:color w:val="FF66FF"/>
          <w:lang w:val="en-US"/>
        </w:rPr>
        <w:t>tensor2metric</w:t>
      </w:r>
      <w:r w:rsidRPr="00347C02">
        <w:rPr>
          <w:lang w:val="en-US"/>
        </w:rPr>
        <w:t xml:space="preserve">. </w:t>
      </w:r>
    </w:p>
    <w:p w14:paraId="1BAC5F86" w14:textId="77777777" w:rsidR="00D601E0" w:rsidRDefault="00D601E0" w:rsidP="00347C02">
      <w:pPr>
        <w:ind w:firstLine="720"/>
        <w:rPr>
          <w:lang w:val="en-US"/>
        </w:rPr>
      </w:pPr>
      <w:r>
        <w:rPr>
          <w:lang w:val="en-US"/>
        </w:rPr>
        <w:t xml:space="preserve">Sample commands: </w:t>
      </w:r>
    </w:p>
    <w:p w14:paraId="3ED945E9" w14:textId="77777777" w:rsidR="00D601E0" w:rsidRPr="002D7526" w:rsidRDefault="00D601E0" w:rsidP="00347C02">
      <w:pPr>
        <w:ind w:left="720"/>
        <w:rPr>
          <w:rFonts w:ascii="Lucida Console" w:hAnsi="Lucida Console"/>
          <w:sz w:val="18"/>
          <w:szCs w:val="18"/>
          <w:lang w:val="en-US"/>
        </w:rPr>
      </w:pPr>
      <w:r w:rsidRPr="002D7526">
        <w:rPr>
          <w:rFonts w:ascii="Lucida Console" w:hAnsi="Lucida Console"/>
          <w:sz w:val="18"/>
          <w:szCs w:val="18"/>
          <w:lang w:val="en-US"/>
        </w:rPr>
        <w:t>dwi2tensor sub-ADPRC0001F0_acq_data_dwi.mif sub-ADPRC0001F0_dt_image.mif</w:t>
      </w:r>
    </w:p>
    <w:p w14:paraId="305BD842" w14:textId="77777777" w:rsidR="00D601E0" w:rsidRDefault="00D601E0" w:rsidP="00347C02">
      <w:pPr>
        <w:ind w:firstLine="720"/>
        <w:rPr>
          <w:rFonts w:ascii="Lucida Console" w:hAnsi="Lucida Console"/>
          <w:sz w:val="18"/>
          <w:szCs w:val="18"/>
          <w:lang w:val="en-US"/>
        </w:rPr>
      </w:pPr>
      <w:r w:rsidRPr="002D7526">
        <w:rPr>
          <w:rFonts w:ascii="Lucida Console" w:hAnsi="Lucida Console"/>
          <w:sz w:val="18"/>
          <w:szCs w:val="18"/>
          <w:lang w:val="en-US"/>
        </w:rPr>
        <w:t>tensor2metric sub-ADPRC0001F0_dt_image.mif -fa sub-ADPRC001F0_fa.mif</w:t>
      </w:r>
    </w:p>
    <w:p w14:paraId="4E8422EF" w14:textId="77777777" w:rsidR="00D601E0" w:rsidRDefault="00D601E0" w:rsidP="00347C02">
      <w:pPr>
        <w:ind w:firstLine="720"/>
        <w:rPr>
          <w:rFonts w:ascii="Lucida Console" w:hAnsi="Lucida Console"/>
          <w:sz w:val="18"/>
          <w:szCs w:val="18"/>
          <w:lang w:val="en-US"/>
        </w:rPr>
      </w:pPr>
      <w:r>
        <w:rPr>
          <w:noProof/>
        </w:rPr>
        <w:drawing>
          <wp:inline distT="0" distB="0" distL="0" distR="0" wp14:anchorId="45FCDE86" wp14:editId="10F19D97">
            <wp:extent cx="2505075" cy="176587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1652" cy="1770510"/>
                    </a:xfrm>
                    <a:prstGeom prst="rect">
                      <a:avLst/>
                    </a:prstGeom>
                  </pic:spPr>
                </pic:pic>
              </a:graphicData>
            </a:graphic>
          </wp:inline>
        </w:drawing>
      </w:r>
    </w:p>
    <w:p w14:paraId="3E3D0530" w14:textId="524F3AA2" w:rsidR="00D601E0" w:rsidRDefault="00D601E0" w:rsidP="00347C02">
      <w:pPr>
        <w:ind w:firstLine="720"/>
        <w:rPr>
          <w:rFonts w:cstheme="minorHAnsi"/>
          <w:lang w:val="en-US"/>
        </w:rPr>
      </w:pPr>
      <w:r>
        <w:rPr>
          <w:rFonts w:cstheme="minorHAnsi"/>
          <w:lang w:val="en-US"/>
        </w:rPr>
        <w:t>FA image of a participant</w:t>
      </w:r>
      <w:r>
        <w:rPr>
          <w:rFonts w:cstheme="minorHAnsi"/>
          <w:lang w:val="en-US"/>
        </w:rPr>
        <w:t xml:space="preserve"> in their native space</w:t>
      </w:r>
    </w:p>
    <w:p w14:paraId="44892F8B" w14:textId="5DF1C767" w:rsidR="004546AB" w:rsidRDefault="004546AB" w:rsidP="00D601E0">
      <w:pPr>
        <w:rPr>
          <w:rFonts w:cstheme="minorHAnsi"/>
          <w:lang w:val="en-US"/>
        </w:rPr>
      </w:pPr>
    </w:p>
    <w:p w14:paraId="1F7BA771" w14:textId="394EF1DF" w:rsidR="004546AB" w:rsidRPr="00347C02" w:rsidRDefault="004546AB" w:rsidP="00347C02">
      <w:pPr>
        <w:pStyle w:val="ListParagraph"/>
        <w:numPr>
          <w:ilvl w:val="0"/>
          <w:numId w:val="1"/>
        </w:numPr>
        <w:rPr>
          <w:rFonts w:cstheme="minorHAnsi"/>
          <w:lang w:val="en-US"/>
        </w:rPr>
      </w:pPr>
      <w:r w:rsidRPr="00347C02">
        <w:rPr>
          <w:rFonts w:cstheme="minorHAnsi"/>
          <w:lang w:val="en-US"/>
        </w:rPr>
        <w:t xml:space="preserve">You then need to warp </w:t>
      </w:r>
      <w:r w:rsidR="00E73FFD" w:rsidRPr="00347C02">
        <w:rPr>
          <w:rFonts w:cstheme="minorHAnsi"/>
          <w:lang w:val="en-US"/>
        </w:rPr>
        <w:t xml:space="preserve">(using </w:t>
      </w:r>
      <w:proofErr w:type="spellStart"/>
      <w:r w:rsidR="00E73FFD" w:rsidRPr="00347C02">
        <w:rPr>
          <w:rFonts w:cstheme="minorHAnsi"/>
          <w:color w:val="FF66FF"/>
          <w:lang w:val="en-US"/>
        </w:rPr>
        <w:t>mrtransform</w:t>
      </w:r>
      <w:proofErr w:type="spellEnd"/>
      <w:r w:rsidR="00E73FFD" w:rsidRPr="00347C02">
        <w:rPr>
          <w:rFonts w:cstheme="minorHAnsi"/>
          <w:lang w:val="en-US"/>
        </w:rPr>
        <w:t xml:space="preserve">) </w:t>
      </w:r>
      <w:r w:rsidRPr="00347C02">
        <w:rPr>
          <w:rFonts w:cstheme="minorHAnsi"/>
          <w:lang w:val="en-US"/>
        </w:rPr>
        <w:t xml:space="preserve">the subject DTI maps to the population template. The population template is the </w:t>
      </w:r>
      <w:r w:rsidR="00325BB4" w:rsidRPr="00347C02">
        <w:rPr>
          <w:rFonts w:cstheme="minorHAnsi"/>
          <w:lang w:val="en-US"/>
        </w:rPr>
        <w:t xml:space="preserve">white matter </w:t>
      </w:r>
      <w:proofErr w:type="spellStart"/>
      <w:r w:rsidR="00325BB4" w:rsidRPr="00347C02">
        <w:rPr>
          <w:rFonts w:cstheme="minorHAnsi"/>
          <w:lang w:val="en-US"/>
        </w:rPr>
        <w:t>fibre</w:t>
      </w:r>
      <w:proofErr w:type="spellEnd"/>
      <w:r w:rsidR="00325BB4" w:rsidRPr="00347C02">
        <w:rPr>
          <w:rFonts w:cstheme="minorHAnsi"/>
          <w:lang w:val="en-US"/>
        </w:rPr>
        <w:t xml:space="preserve"> orientation density population</w:t>
      </w:r>
      <w:r w:rsidRPr="00347C02">
        <w:rPr>
          <w:rFonts w:cstheme="minorHAnsi"/>
          <w:lang w:val="en-US"/>
        </w:rPr>
        <w:t xml:space="preserve"> template</w:t>
      </w:r>
      <w:r w:rsidR="00325BB4" w:rsidRPr="00347C02">
        <w:rPr>
          <w:rFonts w:cstheme="minorHAnsi"/>
          <w:lang w:val="en-US"/>
        </w:rPr>
        <w:t xml:space="preserve"> </w:t>
      </w:r>
      <w:r w:rsidR="00325BB4" w:rsidRPr="00347C02">
        <w:rPr>
          <w:rFonts w:cstheme="minorHAnsi"/>
          <w:lang w:val="en-US"/>
        </w:rPr>
        <w:t>(</w:t>
      </w:r>
      <w:proofErr w:type="spellStart"/>
      <w:r w:rsidR="00325BB4" w:rsidRPr="00347C02">
        <w:rPr>
          <w:rFonts w:cstheme="minorHAnsi"/>
          <w:lang w:val="en-US"/>
        </w:rPr>
        <w:t>wmfod</w:t>
      </w:r>
      <w:r w:rsidR="00325BB4" w:rsidRPr="00347C02">
        <w:rPr>
          <w:rFonts w:cstheme="minorHAnsi"/>
          <w:lang w:val="en-US"/>
        </w:rPr>
        <w:t>_template.mif</w:t>
      </w:r>
      <w:proofErr w:type="spellEnd"/>
      <w:r w:rsidR="00325BB4" w:rsidRPr="00347C02">
        <w:rPr>
          <w:rFonts w:cstheme="minorHAnsi"/>
          <w:lang w:val="en-US"/>
        </w:rPr>
        <w:t xml:space="preserve">) </w:t>
      </w:r>
      <w:r w:rsidRPr="00347C02">
        <w:rPr>
          <w:rFonts w:cstheme="minorHAnsi"/>
          <w:lang w:val="en-US"/>
        </w:rPr>
        <w:t xml:space="preserve"> which was used in the </w:t>
      </w:r>
      <w:r w:rsidR="005034D1" w:rsidRPr="00347C02">
        <w:rPr>
          <w:rFonts w:cstheme="minorHAnsi"/>
          <w:lang w:val="en-US"/>
        </w:rPr>
        <w:t>FBA</w:t>
      </w:r>
      <w:r w:rsidRPr="00347C02">
        <w:rPr>
          <w:rFonts w:cstheme="minorHAnsi"/>
          <w:lang w:val="en-US"/>
        </w:rPr>
        <w:t xml:space="preserve">. </w:t>
      </w:r>
      <w:r w:rsidR="005034D1" w:rsidRPr="00347C02">
        <w:rPr>
          <w:rFonts w:cstheme="minorHAnsi"/>
          <w:lang w:val="en-US"/>
        </w:rPr>
        <w:t xml:space="preserve">You can also use the subject-to-template registration and warps which was used in FBA. </w:t>
      </w:r>
    </w:p>
    <w:p w14:paraId="6FBD53B7" w14:textId="4D418CA4" w:rsidR="00E73FFD" w:rsidRDefault="00E73FFD" w:rsidP="00D601E0">
      <w:pPr>
        <w:rPr>
          <w:rFonts w:cstheme="minorHAnsi"/>
          <w:lang w:val="en-US"/>
        </w:rPr>
      </w:pPr>
    </w:p>
    <w:p w14:paraId="66BD3E7A" w14:textId="2447FC6E" w:rsidR="00E73FFD" w:rsidRDefault="00E73FFD" w:rsidP="00347C02">
      <w:pPr>
        <w:ind w:firstLine="720"/>
        <w:rPr>
          <w:rFonts w:cstheme="minorHAnsi"/>
          <w:lang w:val="en-US"/>
        </w:rPr>
      </w:pPr>
      <w:r>
        <w:rPr>
          <w:rFonts w:cstheme="minorHAnsi"/>
          <w:lang w:val="en-US"/>
        </w:rPr>
        <w:t xml:space="preserve">Sample command: </w:t>
      </w:r>
    </w:p>
    <w:p w14:paraId="2C06AB83" w14:textId="2398497D" w:rsidR="00E73FFD" w:rsidRPr="00E73FFD" w:rsidRDefault="00E73FFD" w:rsidP="00347C02">
      <w:pPr>
        <w:ind w:left="720"/>
        <w:rPr>
          <w:rFonts w:ascii="Lucida Console" w:hAnsi="Lucida Console"/>
          <w:sz w:val="14"/>
          <w:szCs w:val="14"/>
          <w:lang w:val="en-US"/>
        </w:rPr>
      </w:pPr>
      <w:proofErr w:type="spellStart"/>
      <w:r>
        <w:rPr>
          <w:rFonts w:ascii="Lucida Console" w:hAnsi="Lucida Console" w:cstheme="minorHAnsi"/>
          <w:sz w:val="18"/>
          <w:szCs w:val="18"/>
          <w:lang w:val="en-US"/>
        </w:rPr>
        <w:t>m</w:t>
      </w:r>
      <w:r w:rsidRPr="00E73FFD">
        <w:rPr>
          <w:rFonts w:ascii="Lucida Console" w:hAnsi="Lucida Console" w:cstheme="minorHAnsi"/>
          <w:sz w:val="18"/>
          <w:szCs w:val="18"/>
          <w:lang w:val="en-US"/>
        </w:rPr>
        <w:t>rtransform</w:t>
      </w:r>
      <w:proofErr w:type="spellEnd"/>
      <w:r>
        <w:rPr>
          <w:rFonts w:ascii="Lucida Console" w:hAnsi="Lucida Console" w:cstheme="minorHAnsi"/>
          <w:sz w:val="18"/>
          <w:szCs w:val="18"/>
          <w:lang w:val="en-US"/>
        </w:rPr>
        <w:t xml:space="preserve"> sub-ADPRC0001F0_fa.mif -warp sub-ADPRC0001F0_subject2template_warp.mif sub-ADPRC0001F0_template_space_fa.mif</w:t>
      </w:r>
    </w:p>
    <w:p w14:paraId="0EB56D70" w14:textId="4812DF3D" w:rsidR="000E76DA" w:rsidRPr="007302FF" w:rsidRDefault="00325BB4" w:rsidP="00347C02">
      <w:pPr>
        <w:ind w:firstLine="720"/>
        <w:rPr>
          <w:sz w:val="28"/>
          <w:szCs w:val="28"/>
          <w:lang w:val="en-US"/>
        </w:rPr>
      </w:pPr>
      <w:r w:rsidRPr="007302FF">
        <w:rPr>
          <w:noProof/>
        </w:rPr>
        <w:drawing>
          <wp:inline distT="0" distB="0" distL="0" distR="0" wp14:anchorId="6A908A14" wp14:editId="70C704CF">
            <wp:extent cx="1837426" cy="167179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0570" cy="1674660"/>
                    </a:xfrm>
                    <a:prstGeom prst="rect">
                      <a:avLst/>
                    </a:prstGeom>
                  </pic:spPr>
                </pic:pic>
              </a:graphicData>
            </a:graphic>
          </wp:inline>
        </w:drawing>
      </w:r>
      <w:r w:rsidR="00347C02" w:rsidRPr="007302FF">
        <w:rPr>
          <w:sz w:val="28"/>
          <w:szCs w:val="28"/>
          <w:lang w:val="en-US"/>
        </w:rPr>
        <w:tab/>
      </w:r>
    </w:p>
    <w:p w14:paraId="78397FBB" w14:textId="5C6C380E" w:rsidR="00325BB4" w:rsidRDefault="00325BB4" w:rsidP="00347C02">
      <w:pPr>
        <w:ind w:firstLine="720"/>
        <w:rPr>
          <w:lang w:val="en-US"/>
        </w:rPr>
      </w:pPr>
      <w:proofErr w:type="spellStart"/>
      <w:r>
        <w:rPr>
          <w:lang w:val="en-US"/>
        </w:rPr>
        <w:t>Wmfod</w:t>
      </w:r>
      <w:proofErr w:type="spellEnd"/>
      <w:r>
        <w:rPr>
          <w:lang w:val="en-US"/>
        </w:rPr>
        <w:t xml:space="preserve"> population template</w:t>
      </w:r>
    </w:p>
    <w:p w14:paraId="2FBD7093" w14:textId="20FF3DD3" w:rsidR="00325BB4" w:rsidRDefault="00325BB4" w:rsidP="00347C02">
      <w:pPr>
        <w:ind w:firstLine="720"/>
        <w:rPr>
          <w:lang w:val="en-US"/>
        </w:rPr>
      </w:pPr>
      <w:r>
        <w:rPr>
          <w:noProof/>
        </w:rPr>
        <w:drawing>
          <wp:inline distT="0" distB="0" distL="0" distR="0" wp14:anchorId="32D88099" wp14:editId="427EDA00">
            <wp:extent cx="1940943" cy="1543028"/>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7193" cy="1547997"/>
                    </a:xfrm>
                    <a:prstGeom prst="rect">
                      <a:avLst/>
                    </a:prstGeom>
                  </pic:spPr>
                </pic:pic>
              </a:graphicData>
            </a:graphic>
          </wp:inline>
        </w:drawing>
      </w:r>
    </w:p>
    <w:p w14:paraId="7AF3931A" w14:textId="7122701C" w:rsidR="00347C02" w:rsidRDefault="00347C02" w:rsidP="00347C02">
      <w:pPr>
        <w:ind w:firstLine="720"/>
        <w:rPr>
          <w:lang w:val="en-US"/>
        </w:rPr>
      </w:pPr>
      <w:r>
        <w:rPr>
          <w:lang w:val="en-US"/>
        </w:rPr>
        <w:t xml:space="preserve">Warped subject </w:t>
      </w:r>
      <w:r w:rsidR="000B7268">
        <w:rPr>
          <w:lang w:val="en-US"/>
        </w:rPr>
        <w:t>FA</w:t>
      </w:r>
      <w:r>
        <w:rPr>
          <w:lang w:val="en-US"/>
        </w:rPr>
        <w:t xml:space="preserve"> map onto </w:t>
      </w:r>
      <w:proofErr w:type="spellStart"/>
      <w:r>
        <w:rPr>
          <w:lang w:val="en-US"/>
        </w:rPr>
        <w:t>wmfod</w:t>
      </w:r>
      <w:proofErr w:type="spellEnd"/>
      <w:r>
        <w:rPr>
          <w:lang w:val="en-US"/>
        </w:rPr>
        <w:t xml:space="preserve"> population template space</w:t>
      </w:r>
    </w:p>
    <w:p w14:paraId="5133C560" w14:textId="6D849416" w:rsidR="000B7268" w:rsidRPr="000B7268" w:rsidRDefault="000B7268" w:rsidP="000B7268">
      <w:pPr>
        <w:pStyle w:val="ListParagraph"/>
        <w:numPr>
          <w:ilvl w:val="0"/>
          <w:numId w:val="1"/>
        </w:numPr>
        <w:rPr>
          <w:lang w:val="en-US"/>
        </w:rPr>
      </w:pPr>
      <w:r>
        <w:rPr>
          <w:lang w:val="en-US"/>
        </w:rPr>
        <w:t>Run voxel-based statistical analysis on the DTI metrics.</w:t>
      </w:r>
      <w:r w:rsidR="00EC343C">
        <w:rPr>
          <w:lang w:val="en-US"/>
        </w:rPr>
        <w:t xml:space="preserve"> VBA can be down with </w:t>
      </w:r>
      <w:proofErr w:type="spellStart"/>
      <w:r w:rsidR="00EC343C" w:rsidRPr="00EC343C">
        <w:rPr>
          <w:color w:val="FF66FF"/>
          <w:lang w:val="en-US"/>
        </w:rPr>
        <w:t>mrclusterstats</w:t>
      </w:r>
      <w:proofErr w:type="spellEnd"/>
      <w:r w:rsidR="00EC343C">
        <w:rPr>
          <w:lang w:val="en-US"/>
        </w:rPr>
        <w:t xml:space="preserve"> with the default parameters </w:t>
      </w:r>
      <w:r w:rsidR="00EC343C" w:rsidRPr="00EC343C">
        <w:rPr>
          <w:lang w:val="en-US"/>
        </w:rPr>
        <w:t>(</w:t>
      </w:r>
      <w:r w:rsidR="00EC343C" w:rsidRPr="00EC343C">
        <w:rPr>
          <w:i/>
          <w:iCs/>
          <w:lang w:val="en-US"/>
        </w:rPr>
        <w:t xml:space="preserve">dh </w:t>
      </w:r>
      <w:r w:rsidR="00EC343C" w:rsidRPr="00EC343C">
        <w:rPr>
          <w:lang w:val="en-US"/>
        </w:rPr>
        <w:t xml:space="preserve">= 0.1, </w:t>
      </w:r>
      <w:r w:rsidR="00EC343C" w:rsidRPr="00EC343C">
        <w:rPr>
          <w:i/>
          <w:iCs/>
          <w:lang w:val="en-US"/>
        </w:rPr>
        <w:t xml:space="preserve">E </w:t>
      </w:r>
      <w:r w:rsidR="00EC343C" w:rsidRPr="00EC343C">
        <w:rPr>
          <w:lang w:val="en-US"/>
        </w:rPr>
        <w:t xml:space="preserve">= 0.5, </w:t>
      </w:r>
      <w:r w:rsidR="00EC343C" w:rsidRPr="00EC343C">
        <w:rPr>
          <w:i/>
          <w:iCs/>
          <w:lang w:val="en-US"/>
        </w:rPr>
        <w:t>H</w:t>
      </w:r>
      <w:r w:rsidR="00EC343C" w:rsidRPr="00EC343C">
        <w:rPr>
          <w:lang w:val="en-US"/>
        </w:rPr>
        <w:t xml:space="preserve"> = 2)</w:t>
      </w:r>
      <w:r w:rsidR="00EC343C">
        <w:rPr>
          <w:lang w:val="en-US"/>
        </w:rPr>
        <w:t xml:space="preserve">. You will need to use the </w:t>
      </w:r>
      <w:proofErr w:type="spellStart"/>
      <w:r w:rsidR="00EC343C">
        <w:rPr>
          <w:lang w:val="en-US"/>
        </w:rPr>
        <w:t>wmfod</w:t>
      </w:r>
      <w:proofErr w:type="spellEnd"/>
      <w:r w:rsidR="00EC343C">
        <w:rPr>
          <w:lang w:val="en-US"/>
        </w:rPr>
        <w:t xml:space="preserve"> template mask, which was also done in the FBA. </w:t>
      </w:r>
      <w:r>
        <w:rPr>
          <w:lang w:val="en-US"/>
        </w:rPr>
        <w:t xml:space="preserve"> </w:t>
      </w:r>
    </w:p>
    <w:p w14:paraId="6A0C43E4" w14:textId="77777777" w:rsidR="0067695D" w:rsidRDefault="0067695D" w:rsidP="0067695D">
      <w:pPr>
        <w:pStyle w:val="ListParagraph"/>
        <w:rPr>
          <w:rFonts w:cstheme="minorHAnsi"/>
          <w:lang w:val="en-US"/>
        </w:rPr>
      </w:pPr>
    </w:p>
    <w:p w14:paraId="643C0E67" w14:textId="73956A6D" w:rsidR="0067695D" w:rsidRDefault="0067695D" w:rsidP="0067695D">
      <w:pPr>
        <w:pStyle w:val="ListParagraph"/>
        <w:rPr>
          <w:rFonts w:cstheme="minorHAnsi"/>
          <w:lang w:val="en-US"/>
        </w:rPr>
      </w:pPr>
      <w:r w:rsidRPr="0067695D">
        <w:rPr>
          <w:rFonts w:cstheme="minorHAnsi"/>
          <w:lang w:val="en-US"/>
        </w:rPr>
        <w:t xml:space="preserve">Sample command: </w:t>
      </w:r>
    </w:p>
    <w:p w14:paraId="4620C751" w14:textId="728B41AB" w:rsidR="0067695D" w:rsidRDefault="0067695D" w:rsidP="0067695D">
      <w:pPr>
        <w:pStyle w:val="ListParagraph"/>
        <w:rPr>
          <w:rFonts w:cstheme="minorHAnsi"/>
          <w:lang w:val="en-US"/>
        </w:rPr>
      </w:pPr>
    </w:p>
    <w:p w14:paraId="636335C1" w14:textId="5A173088" w:rsidR="0067695D" w:rsidRPr="0067695D" w:rsidRDefault="0067695D" w:rsidP="0067695D">
      <w:pPr>
        <w:pStyle w:val="ListParagraph"/>
        <w:rPr>
          <w:rFonts w:ascii="Lucida Console" w:hAnsi="Lucida Console" w:cstheme="minorHAnsi"/>
          <w:sz w:val="18"/>
          <w:szCs w:val="18"/>
          <w:lang w:val="en-US"/>
        </w:rPr>
      </w:pPr>
      <w:proofErr w:type="spellStart"/>
      <w:r w:rsidRPr="0067695D">
        <w:rPr>
          <w:rFonts w:ascii="Lucida Console" w:hAnsi="Lucida Console" w:cstheme="minorHAnsi"/>
          <w:sz w:val="18"/>
          <w:szCs w:val="18"/>
          <w:lang w:val="en-US"/>
        </w:rPr>
        <w:t>mrclusterstats</w:t>
      </w:r>
      <w:proofErr w:type="spellEnd"/>
      <w:r w:rsidRPr="0067695D">
        <w:rPr>
          <w:rFonts w:ascii="Lucida Console" w:hAnsi="Lucida Console" w:cstheme="minorHAnsi"/>
          <w:sz w:val="18"/>
          <w:szCs w:val="18"/>
          <w:lang w:val="en-US"/>
        </w:rPr>
        <w:t xml:space="preserve"> whole-brain_DTI_FA_input.txt design_matrix.txt contrast_matrix.txt </w:t>
      </w:r>
      <w:proofErr w:type="spellStart"/>
      <w:r w:rsidRPr="0067695D">
        <w:rPr>
          <w:rFonts w:ascii="Lucida Console" w:hAnsi="Lucida Console" w:cstheme="minorHAnsi"/>
          <w:sz w:val="18"/>
          <w:szCs w:val="18"/>
          <w:lang w:val="en-US"/>
        </w:rPr>
        <w:t>template_mask.mif</w:t>
      </w:r>
      <w:proofErr w:type="spellEnd"/>
      <w:r w:rsidRPr="0067695D">
        <w:rPr>
          <w:rFonts w:ascii="Lucida Console" w:hAnsi="Lucida Console" w:cstheme="minorHAnsi"/>
          <w:sz w:val="18"/>
          <w:szCs w:val="18"/>
          <w:lang w:val="en-US"/>
        </w:rPr>
        <w:t xml:space="preserve"> </w:t>
      </w:r>
      <w:proofErr w:type="spellStart"/>
      <w:r w:rsidRPr="0067695D">
        <w:rPr>
          <w:rFonts w:ascii="Lucida Console" w:hAnsi="Lucida Console" w:cstheme="minorHAnsi"/>
          <w:sz w:val="18"/>
          <w:szCs w:val="18"/>
          <w:lang w:val="en-US"/>
        </w:rPr>
        <w:t>stats_results</w:t>
      </w:r>
      <w:proofErr w:type="spellEnd"/>
      <w:r w:rsidRPr="0067695D">
        <w:rPr>
          <w:rFonts w:ascii="Lucida Console" w:hAnsi="Lucida Console" w:cstheme="minorHAnsi"/>
          <w:sz w:val="18"/>
          <w:szCs w:val="18"/>
          <w:lang w:val="en-US"/>
        </w:rPr>
        <w:t>/</w:t>
      </w:r>
      <w:proofErr w:type="spellStart"/>
      <w:r w:rsidRPr="0067695D">
        <w:rPr>
          <w:rFonts w:ascii="Lucida Console" w:hAnsi="Lucida Console" w:cstheme="minorHAnsi"/>
          <w:sz w:val="18"/>
          <w:szCs w:val="18"/>
          <w:lang w:val="en-US"/>
        </w:rPr>
        <w:t>stats_fa</w:t>
      </w:r>
      <w:proofErr w:type="spellEnd"/>
      <w:r w:rsidRPr="0067695D">
        <w:rPr>
          <w:rFonts w:ascii="Lucida Console" w:hAnsi="Lucida Console" w:cstheme="minorHAnsi"/>
          <w:sz w:val="18"/>
          <w:szCs w:val="18"/>
          <w:lang w:val="en-US"/>
        </w:rPr>
        <w:t>/fa_</w:t>
      </w:r>
    </w:p>
    <w:p w14:paraId="4FB0AB2E" w14:textId="47A3D7C8" w:rsidR="0067695D" w:rsidRDefault="0067695D" w:rsidP="0067695D">
      <w:pPr>
        <w:pStyle w:val="ListParagraph"/>
        <w:rPr>
          <w:rFonts w:cstheme="minorHAnsi"/>
          <w:lang w:val="en-US"/>
        </w:rPr>
      </w:pPr>
    </w:p>
    <w:p w14:paraId="7399E5DA" w14:textId="3176F7E9" w:rsidR="0067695D" w:rsidRPr="0067695D" w:rsidRDefault="0067695D" w:rsidP="0067695D">
      <w:pPr>
        <w:pStyle w:val="ListParagraph"/>
        <w:rPr>
          <w:rFonts w:cstheme="minorHAnsi"/>
          <w:lang w:val="en-US"/>
        </w:rPr>
      </w:pPr>
      <w:r>
        <w:rPr>
          <w:rFonts w:cstheme="minorHAnsi"/>
          <w:lang w:val="en-US"/>
        </w:rPr>
        <w:t xml:space="preserve">You can then </w:t>
      </w:r>
      <w:proofErr w:type="spellStart"/>
      <w:r>
        <w:rPr>
          <w:rFonts w:cstheme="minorHAnsi"/>
          <w:lang w:val="en-US"/>
        </w:rPr>
        <w:t>visualise</w:t>
      </w:r>
      <w:proofErr w:type="spellEnd"/>
      <w:r>
        <w:rPr>
          <w:rFonts w:cstheme="minorHAnsi"/>
          <w:lang w:val="en-US"/>
        </w:rPr>
        <w:t xml:space="preserve"> significant differences in the DTI metrics between groups. </w:t>
      </w:r>
    </w:p>
    <w:p w14:paraId="61521A86" w14:textId="0CF7FF78" w:rsidR="004546AB" w:rsidRDefault="004546AB" w:rsidP="00846FA5">
      <w:pPr>
        <w:rPr>
          <w:sz w:val="28"/>
          <w:szCs w:val="28"/>
          <w:u w:val="single"/>
          <w:lang w:val="en-US"/>
        </w:rPr>
      </w:pPr>
    </w:p>
    <w:p w14:paraId="211064CE" w14:textId="0CF7EDE2" w:rsidR="00580DAC" w:rsidRDefault="00580DAC" w:rsidP="00846FA5">
      <w:pPr>
        <w:rPr>
          <w:sz w:val="28"/>
          <w:szCs w:val="28"/>
          <w:u w:val="single"/>
          <w:lang w:val="en-US"/>
        </w:rPr>
      </w:pPr>
    </w:p>
    <w:p w14:paraId="1E6DAFAD" w14:textId="70F938A4" w:rsidR="00580DAC" w:rsidRDefault="00580DAC" w:rsidP="00846FA5">
      <w:pPr>
        <w:rPr>
          <w:sz w:val="28"/>
          <w:szCs w:val="28"/>
          <w:u w:val="single"/>
          <w:lang w:val="en-US"/>
        </w:rPr>
      </w:pPr>
    </w:p>
    <w:p w14:paraId="23FEDFA5" w14:textId="03D67E5C" w:rsidR="00580DAC" w:rsidRDefault="00580DAC" w:rsidP="00846FA5">
      <w:pPr>
        <w:rPr>
          <w:sz w:val="28"/>
          <w:szCs w:val="28"/>
          <w:u w:val="single"/>
          <w:lang w:val="en-US"/>
        </w:rPr>
      </w:pPr>
    </w:p>
    <w:p w14:paraId="56BA327D" w14:textId="402FBF8D" w:rsidR="00580DAC" w:rsidRDefault="00580DAC" w:rsidP="00846FA5">
      <w:pPr>
        <w:rPr>
          <w:sz w:val="28"/>
          <w:szCs w:val="28"/>
          <w:u w:val="single"/>
          <w:lang w:val="en-US"/>
        </w:rPr>
      </w:pPr>
    </w:p>
    <w:p w14:paraId="02D44B69" w14:textId="255D9DB0" w:rsidR="00580DAC" w:rsidRDefault="00580DAC" w:rsidP="00846FA5">
      <w:pPr>
        <w:rPr>
          <w:sz w:val="28"/>
          <w:szCs w:val="28"/>
          <w:u w:val="single"/>
          <w:lang w:val="en-US"/>
        </w:rPr>
      </w:pPr>
    </w:p>
    <w:p w14:paraId="137738AB" w14:textId="5FC5A66D" w:rsidR="00580DAC" w:rsidRDefault="00580DAC" w:rsidP="00846FA5">
      <w:pPr>
        <w:rPr>
          <w:sz w:val="28"/>
          <w:szCs w:val="28"/>
          <w:u w:val="single"/>
          <w:lang w:val="en-US"/>
        </w:rPr>
      </w:pPr>
    </w:p>
    <w:p w14:paraId="3C8E872E" w14:textId="77777777" w:rsidR="00580DAC" w:rsidRDefault="00580DAC" w:rsidP="00846FA5">
      <w:pPr>
        <w:rPr>
          <w:sz w:val="28"/>
          <w:szCs w:val="28"/>
          <w:u w:val="single"/>
          <w:lang w:val="en-US"/>
        </w:rPr>
      </w:pPr>
    </w:p>
    <w:p w14:paraId="477AEFD3" w14:textId="77777777" w:rsidR="004546AB" w:rsidRDefault="004546AB" w:rsidP="00846FA5">
      <w:pPr>
        <w:rPr>
          <w:sz w:val="28"/>
          <w:szCs w:val="28"/>
          <w:u w:val="single"/>
          <w:lang w:val="en-US"/>
        </w:rPr>
      </w:pPr>
    </w:p>
    <w:p w14:paraId="18F6A0EC" w14:textId="6DDB3CB9" w:rsidR="00846FA5" w:rsidRPr="00325BB4" w:rsidRDefault="000E76DA" w:rsidP="00846FA5">
      <w:pPr>
        <w:rPr>
          <w:sz w:val="32"/>
          <w:szCs w:val="32"/>
          <w:u w:val="single"/>
          <w:lang w:val="en-US"/>
        </w:rPr>
      </w:pPr>
      <w:r w:rsidRPr="00325BB4">
        <w:rPr>
          <w:sz w:val="32"/>
          <w:szCs w:val="32"/>
          <w:u w:val="single"/>
          <w:lang w:val="en-US"/>
        </w:rPr>
        <w:t>Derive tract-specific DTI metrics</w:t>
      </w:r>
    </w:p>
    <w:p w14:paraId="18E6C3FC" w14:textId="13E65B1F" w:rsidR="000E76DA" w:rsidRDefault="000E76DA" w:rsidP="00846FA5">
      <w:pPr>
        <w:rPr>
          <w:lang w:val="en-US"/>
        </w:rPr>
      </w:pPr>
      <w:r>
        <w:rPr>
          <w:lang w:val="en-US"/>
        </w:rPr>
        <w:t xml:space="preserve">This can be done with </w:t>
      </w:r>
      <w:proofErr w:type="spellStart"/>
      <w:r w:rsidRPr="005F1F12">
        <w:rPr>
          <w:color w:val="FF66FF"/>
          <w:lang w:val="en-US"/>
        </w:rPr>
        <w:t>tcksample</w:t>
      </w:r>
      <w:proofErr w:type="spellEnd"/>
      <w:r>
        <w:rPr>
          <w:lang w:val="en-US"/>
        </w:rPr>
        <w:t xml:space="preserve">. </w:t>
      </w:r>
      <w:r w:rsidR="00D601E0">
        <w:rPr>
          <w:lang w:val="en-US"/>
        </w:rPr>
        <w:t xml:space="preserve">Similar steps are done from the whole-brain DTI metric pipeline, and so you can use the same output files for this. </w:t>
      </w:r>
    </w:p>
    <w:p w14:paraId="133FA55C" w14:textId="24D9E840" w:rsidR="000E76DA" w:rsidRPr="00347C02" w:rsidRDefault="000E76DA" w:rsidP="00347C02">
      <w:pPr>
        <w:pStyle w:val="ListParagraph"/>
        <w:numPr>
          <w:ilvl w:val="0"/>
          <w:numId w:val="2"/>
        </w:numPr>
        <w:rPr>
          <w:lang w:val="en-US"/>
        </w:rPr>
      </w:pPr>
      <w:r w:rsidRPr="00347C02">
        <w:rPr>
          <w:lang w:val="en-US"/>
        </w:rPr>
        <w:t xml:space="preserve">You will need to first create an FA </w:t>
      </w:r>
      <w:r w:rsidR="00CB6046" w:rsidRPr="00347C02">
        <w:rPr>
          <w:lang w:val="en-US"/>
        </w:rPr>
        <w:t xml:space="preserve">(or other DTI metric) </w:t>
      </w:r>
      <w:r w:rsidRPr="00347C02">
        <w:rPr>
          <w:lang w:val="en-US"/>
        </w:rPr>
        <w:t xml:space="preserve">map for every participant. </w:t>
      </w:r>
      <w:r w:rsidR="005F1F12" w:rsidRPr="00347C02">
        <w:rPr>
          <w:lang w:val="en-US"/>
        </w:rPr>
        <w:t xml:space="preserve">You can do this with </w:t>
      </w:r>
      <w:r w:rsidR="005F1F12" w:rsidRPr="00347C02">
        <w:rPr>
          <w:color w:val="FF66FF"/>
          <w:lang w:val="en-US"/>
        </w:rPr>
        <w:t>dwi2tensor</w:t>
      </w:r>
      <w:r w:rsidR="005F1F12" w:rsidRPr="00347C02">
        <w:rPr>
          <w:lang w:val="en-US"/>
        </w:rPr>
        <w:t xml:space="preserve"> and then </w:t>
      </w:r>
      <w:r w:rsidR="005F1F12" w:rsidRPr="00347C02">
        <w:rPr>
          <w:color w:val="FF66FF"/>
          <w:lang w:val="en-US"/>
        </w:rPr>
        <w:t>tensor2metric</w:t>
      </w:r>
      <w:r w:rsidR="005F1F12" w:rsidRPr="00347C02">
        <w:rPr>
          <w:lang w:val="en-US"/>
        </w:rPr>
        <w:t xml:space="preserve">. </w:t>
      </w:r>
      <w:r w:rsidRPr="00347C02">
        <w:rPr>
          <w:lang w:val="en-US"/>
        </w:rPr>
        <w:t xml:space="preserve">You will also need to have </w:t>
      </w:r>
      <w:r w:rsidR="005F1F12" w:rsidRPr="00347C02">
        <w:rPr>
          <w:lang w:val="en-US"/>
        </w:rPr>
        <w:t>the tract of interest template file (in .</w:t>
      </w:r>
      <w:proofErr w:type="spellStart"/>
      <w:r w:rsidR="005F1F12" w:rsidRPr="00347C02">
        <w:rPr>
          <w:lang w:val="en-US"/>
        </w:rPr>
        <w:t>tck</w:t>
      </w:r>
      <w:proofErr w:type="spellEnd"/>
      <w:r w:rsidR="005F1F12" w:rsidRPr="00347C02">
        <w:rPr>
          <w:lang w:val="en-US"/>
        </w:rPr>
        <w:t xml:space="preserve"> format). </w:t>
      </w:r>
    </w:p>
    <w:p w14:paraId="1955C754" w14:textId="4332E226" w:rsidR="000E76DA" w:rsidRDefault="00B4321C" w:rsidP="00347C02">
      <w:pPr>
        <w:ind w:firstLine="720"/>
        <w:rPr>
          <w:lang w:val="en-US"/>
        </w:rPr>
      </w:pPr>
      <w:r>
        <w:rPr>
          <w:lang w:val="en-US"/>
        </w:rPr>
        <w:t xml:space="preserve">Sample commands: </w:t>
      </w:r>
    </w:p>
    <w:p w14:paraId="491EDD88" w14:textId="51A94052" w:rsidR="00B4321C" w:rsidRPr="002D7526" w:rsidRDefault="002D7526" w:rsidP="00347C02">
      <w:pPr>
        <w:ind w:firstLine="720"/>
        <w:rPr>
          <w:rFonts w:ascii="Lucida Console" w:hAnsi="Lucida Console"/>
          <w:sz w:val="18"/>
          <w:szCs w:val="18"/>
          <w:lang w:val="en-US"/>
        </w:rPr>
      </w:pPr>
      <w:r w:rsidRPr="002D7526">
        <w:rPr>
          <w:rFonts w:ascii="Lucida Console" w:hAnsi="Lucida Console"/>
          <w:sz w:val="18"/>
          <w:szCs w:val="18"/>
          <w:lang w:val="en-US"/>
        </w:rPr>
        <w:lastRenderedPageBreak/>
        <w:t>dwi2tensor sub-ADPRC0001F0_acq_data_dwi.mif sub-ADPRC0001F0_dt_image.mif</w:t>
      </w:r>
    </w:p>
    <w:p w14:paraId="3D582FCE" w14:textId="7993122C" w:rsidR="005F1F12" w:rsidRDefault="002D7526" w:rsidP="00347C02">
      <w:pPr>
        <w:ind w:firstLine="720"/>
        <w:rPr>
          <w:rFonts w:ascii="Lucida Console" w:hAnsi="Lucida Console"/>
          <w:sz w:val="18"/>
          <w:szCs w:val="18"/>
          <w:lang w:val="en-US"/>
        </w:rPr>
      </w:pPr>
      <w:r w:rsidRPr="002D7526">
        <w:rPr>
          <w:rFonts w:ascii="Lucida Console" w:hAnsi="Lucida Console"/>
          <w:sz w:val="18"/>
          <w:szCs w:val="18"/>
          <w:lang w:val="en-US"/>
        </w:rPr>
        <w:t>tensor2metric sub-ADPRC0001F0_dt_image.mif -fa sub-ADPRC001F0_fa.mif</w:t>
      </w:r>
    </w:p>
    <w:p w14:paraId="61B6314C" w14:textId="77777777" w:rsidR="004F3D61" w:rsidRDefault="004F3D61" w:rsidP="00347C02">
      <w:pPr>
        <w:ind w:firstLine="720"/>
        <w:rPr>
          <w:rFonts w:ascii="Lucida Console" w:hAnsi="Lucida Console"/>
          <w:sz w:val="18"/>
          <w:szCs w:val="18"/>
          <w:lang w:val="en-US"/>
        </w:rPr>
      </w:pPr>
      <w:r>
        <w:rPr>
          <w:noProof/>
        </w:rPr>
        <w:drawing>
          <wp:inline distT="0" distB="0" distL="0" distR="0" wp14:anchorId="7AB2717B" wp14:editId="2B72BBFB">
            <wp:extent cx="2505075" cy="176587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1652" cy="1770510"/>
                    </a:xfrm>
                    <a:prstGeom prst="rect">
                      <a:avLst/>
                    </a:prstGeom>
                  </pic:spPr>
                </pic:pic>
              </a:graphicData>
            </a:graphic>
          </wp:inline>
        </w:drawing>
      </w:r>
    </w:p>
    <w:p w14:paraId="4B2EBF88" w14:textId="6E3BBAF5" w:rsidR="004F3D61" w:rsidRDefault="004F3D61" w:rsidP="00347C02">
      <w:pPr>
        <w:ind w:firstLine="720"/>
        <w:rPr>
          <w:rFonts w:cstheme="minorHAnsi"/>
          <w:lang w:val="en-US"/>
        </w:rPr>
      </w:pPr>
      <w:r>
        <w:rPr>
          <w:rFonts w:cstheme="minorHAnsi"/>
          <w:lang w:val="en-US"/>
        </w:rPr>
        <w:t>FA image of a participant</w:t>
      </w:r>
      <w:r w:rsidR="00D601E0">
        <w:rPr>
          <w:rFonts w:cstheme="minorHAnsi"/>
          <w:lang w:val="en-US"/>
        </w:rPr>
        <w:t xml:space="preserve"> in their native space</w:t>
      </w:r>
    </w:p>
    <w:p w14:paraId="0480326F" w14:textId="15627D11" w:rsidR="00347C02" w:rsidRPr="00347C02" w:rsidRDefault="00347C02" w:rsidP="00347C02">
      <w:pPr>
        <w:pStyle w:val="ListParagraph"/>
        <w:numPr>
          <w:ilvl w:val="0"/>
          <w:numId w:val="2"/>
        </w:numPr>
        <w:rPr>
          <w:rFonts w:cstheme="minorHAnsi"/>
          <w:lang w:val="en-US"/>
        </w:rPr>
      </w:pPr>
      <w:r w:rsidRPr="00347C02">
        <w:rPr>
          <w:rFonts w:cstheme="minorHAnsi"/>
          <w:lang w:val="en-US"/>
        </w:rPr>
        <w:t xml:space="preserve">Run </w:t>
      </w:r>
      <w:proofErr w:type="spellStart"/>
      <w:r w:rsidRPr="00931E92">
        <w:rPr>
          <w:rFonts w:cstheme="minorHAnsi"/>
          <w:color w:val="FF66FF"/>
          <w:lang w:val="en-US"/>
        </w:rPr>
        <w:t>tcksample</w:t>
      </w:r>
      <w:proofErr w:type="spellEnd"/>
      <w:r>
        <w:rPr>
          <w:rFonts w:cstheme="minorHAnsi"/>
          <w:lang w:val="en-US"/>
        </w:rPr>
        <w:t xml:space="preserve"> to extract </w:t>
      </w:r>
      <w:r w:rsidR="00B535E4">
        <w:rPr>
          <w:rFonts w:cstheme="minorHAnsi"/>
          <w:lang w:val="en-US"/>
        </w:rPr>
        <w:t xml:space="preserve">the tract-specific DTI metrics. </w:t>
      </w:r>
    </w:p>
    <w:p w14:paraId="2364EF54" w14:textId="6D241A4C" w:rsidR="004F3D61" w:rsidRPr="00347C02" w:rsidRDefault="004F3D61" w:rsidP="00347C02">
      <w:pPr>
        <w:pStyle w:val="ListParagraph"/>
        <w:rPr>
          <w:rFonts w:ascii="Lucida Console" w:hAnsi="Lucida Console"/>
          <w:sz w:val="18"/>
          <w:szCs w:val="18"/>
          <w:lang w:val="en-US"/>
        </w:rPr>
      </w:pPr>
    </w:p>
    <w:p w14:paraId="62EEF384" w14:textId="51DA7E43" w:rsidR="002D7526" w:rsidRPr="002D7526" w:rsidRDefault="002D7526" w:rsidP="00347C02">
      <w:pPr>
        <w:autoSpaceDE w:val="0"/>
        <w:autoSpaceDN w:val="0"/>
        <w:adjustRightInd w:val="0"/>
        <w:spacing w:after="0" w:line="240" w:lineRule="auto"/>
        <w:ind w:left="720"/>
        <w:rPr>
          <w:rFonts w:ascii="Lucida Console" w:hAnsi="Lucida Console" w:cs="Lucida Console"/>
          <w:sz w:val="18"/>
          <w:szCs w:val="18"/>
        </w:rPr>
      </w:pPr>
      <w:proofErr w:type="spellStart"/>
      <w:r w:rsidRPr="002D7526">
        <w:rPr>
          <w:rFonts w:ascii="Lucida Console" w:hAnsi="Lucida Console" w:cs="Lucida Console"/>
          <w:sz w:val="18"/>
          <w:szCs w:val="18"/>
        </w:rPr>
        <w:t>tcksample</w:t>
      </w:r>
      <w:proofErr w:type="spellEnd"/>
      <w:r w:rsidRPr="002D7526">
        <w:rPr>
          <w:rFonts w:ascii="Lucida Console" w:hAnsi="Lucida Console" w:cs="Lucida Console"/>
          <w:sz w:val="18"/>
          <w:szCs w:val="18"/>
        </w:rPr>
        <w:t xml:space="preserve"> SLF1_track_L.tck sub-ADPRC0001F0_fa.mif FA_</w:t>
      </w:r>
      <w:r w:rsidR="00ED2B6C">
        <w:rPr>
          <w:rFonts w:ascii="Lucida Console" w:hAnsi="Lucida Console" w:cs="Lucida Console"/>
          <w:sz w:val="18"/>
          <w:szCs w:val="18"/>
        </w:rPr>
        <w:t>LSLF1_</w:t>
      </w:r>
      <w:r w:rsidRPr="002D7526">
        <w:rPr>
          <w:rFonts w:ascii="Lucida Console" w:hAnsi="Lucida Console" w:cs="Lucida Console"/>
          <w:sz w:val="18"/>
          <w:szCs w:val="18"/>
        </w:rPr>
        <w:t>sub-ADPRC0001F0.txt -</w:t>
      </w:r>
      <w:proofErr w:type="spellStart"/>
      <w:r w:rsidRPr="002D7526">
        <w:rPr>
          <w:rFonts w:ascii="Lucida Console" w:hAnsi="Lucida Console" w:cs="Lucida Console"/>
          <w:sz w:val="18"/>
          <w:szCs w:val="18"/>
        </w:rPr>
        <w:t>stat_tck</w:t>
      </w:r>
      <w:proofErr w:type="spellEnd"/>
      <w:r w:rsidRPr="002D7526">
        <w:rPr>
          <w:rFonts w:ascii="Lucida Console" w:hAnsi="Lucida Console" w:cs="Lucida Console"/>
          <w:sz w:val="18"/>
          <w:szCs w:val="18"/>
        </w:rPr>
        <w:t xml:space="preserve"> mean</w:t>
      </w:r>
    </w:p>
    <w:p w14:paraId="6C6B0F8B" w14:textId="19B69615" w:rsidR="002D7526" w:rsidRDefault="002D7526" w:rsidP="00846FA5">
      <w:pPr>
        <w:rPr>
          <w:lang w:val="en-US"/>
        </w:rPr>
      </w:pPr>
    </w:p>
    <w:p w14:paraId="596A3182" w14:textId="6C260B85" w:rsidR="004614F2" w:rsidRDefault="003C699A" w:rsidP="00347C02">
      <w:pPr>
        <w:ind w:left="720"/>
        <w:rPr>
          <w:lang w:val="en-US"/>
        </w:rPr>
      </w:pPr>
      <w:proofErr w:type="spellStart"/>
      <w:r>
        <w:rPr>
          <w:lang w:val="en-US"/>
        </w:rPr>
        <w:t>tcksample</w:t>
      </w:r>
      <w:proofErr w:type="spellEnd"/>
      <w:r>
        <w:rPr>
          <w:lang w:val="en-US"/>
        </w:rPr>
        <w:t xml:space="preserve"> will give you a .txt output file (can also specify to other .ascii files, like .csv). </w:t>
      </w:r>
      <w:r w:rsidR="004614F2">
        <w:rPr>
          <w:lang w:val="en-US"/>
        </w:rPr>
        <w:t>It will give you a value for every streamline; e.g., so it will give you 10,000 mean FA values for a 10,000-fibre superior longitudinal fasciculus (SLF) tract.</w:t>
      </w:r>
    </w:p>
    <w:p w14:paraId="6C94F0DD" w14:textId="05716364" w:rsidR="004614F2" w:rsidRDefault="0001516C" w:rsidP="00347C02">
      <w:pPr>
        <w:ind w:firstLine="720"/>
        <w:rPr>
          <w:lang w:val="en-US"/>
        </w:rPr>
      </w:pPr>
      <w:r>
        <w:rPr>
          <w:noProof/>
        </w:rPr>
        <w:drawing>
          <wp:inline distT="0" distB="0" distL="0" distR="0" wp14:anchorId="69FE9AD0" wp14:editId="0A90C3D7">
            <wp:extent cx="5731510" cy="1313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13815"/>
                    </a:xfrm>
                    <a:prstGeom prst="rect">
                      <a:avLst/>
                    </a:prstGeom>
                  </pic:spPr>
                </pic:pic>
              </a:graphicData>
            </a:graphic>
          </wp:inline>
        </w:drawing>
      </w:r>
    </w:p>
    <w:p w14:paraId="0691702E" w14:textId="5C743E5D" w:rsidR="004614F2" w:rsidRDefault="00D56486" w:rsidP="00347C02">
      <w:pPr>
        <w:ind w:left="720"/>
        <w:rPr>
          <w:lang w:val="en-US"/>
        </w:rPr>
      </w:pPr>
      <w:r>
        <w:rPr>
          <w:lang w:val="en-US"/>
        </w:rPr>
        <w:t>You can then take the mean of all 10,000 values to get one singular</w:t>
      </w:r>
      <w:r w:rsidR="00CF3FA7">
        <w:rPr>
          <w:lang w:val="en-US"/>
        </w:rPr>
        <w:t>, mean</w:t>
      </w:r>
      <w:r>
        <w:rPr>
          <w:lang w:val="en-US"/>
        </w:rPr>
        <w:t xml:space="preserve"> FA value for each participant. </w:t>
      </w:r>
    </w:p>
    <w:p w14:paraId="4BC18F1C" w14:textId="77777777" w:rsidR="005F1F12" w:rsidRDefault="005F1F12" w:rsidP="00846FA5">
      <w:pPr>
        <w:rPr>
          <w:lang w:val="en-US"/>
        </w:rPr>
      </w:pPr>
    </w:p>
    <w:p w14:paraId="68B08032" w14:textId="58587C6C" w:rsidR="000E76DA" w:rsidRDefault="000E76DA" w:rsidP="00347C02">
      <w:pPr>
        <w:ind w:firstLine="720"/>
        <w:rPr>
          <w:lang w:val="en-US"/>
        </w:rPr>
      </w:pPr>
      <w:r>
        <w:rPr>
          <w:lang w:val="en-US"/>
        </w:rPr>
        <w:t>Further information:</w:t>
      </w:r>
    </w:p>
    <w:p w14:paraId="55AA2B8D" w14:textId="2199EDDF" w:rsidR="005F1F12" w:rsidRDefault="00B4321C" w:rsidP="00347C02">
      <w:pPr>
        <w:ind w:firstLine="720"/>
        <w:rPr>
          <w:lang w:val="en-US"/>
        </w:rPr>
      </w:pPr>
      <w:r>
        <w:rPr>
          <w:lang w:val="en-US"/>
        </w:rPr>
        <w:t>(</w:t>
      </w:r>
      <w:r w:rsidR="005F1F12">
        <w:rPr>
          <w:lang w:val="en-US"/>
        </w:rPr>
        <w:t xml:space="preserve">For </w:t>
      </w:r>
      <w:proofErr w:type="spellStart"/>
      <w:r w:rsidR="005F1F12">
        <w:rPr>
          <w:lang w:val="en-US"/>
        </w:rPr>
        <w:t>tcksample</w:t>
      </w:r>
      <w:proofErr w:type="spellEnd"/>
      <w:r>
        <w:rPr>
          <w:lang w:val="en-US"/>
        </w:rPr>
        <w:t>)</w:t>
      </w:r>
      <w:r w:rsidR="005F1F12">
        <w:rPr>
          <w:lang w:val="en-US"/>
        </w:rPr>
        <w:t>:</w:t>
      </w:r>
    </w:p>
    <w:p w14:paraId="79E87543" w14:textId="2211B253" w:rsidR="000E76DA" w:rsidRDefault="00347C02" w:rsidP="00347C02">
      <w:pPr>
        <w:ind w:firstLine="720"/>
        <w:rPr>
          <w:lang w:val="en-US"/>
        </w:rPr>
      </w:pPr>
      <w:hyperlink r:id="rId11" w:history="1">
        <w:r w:rsidRPr="00E42BF6">
          <w:rPr>
            <w:rStyle w:val="Hyperlink"/>
            <w:lang w:val="en-US"/>
          </w:rPr>
          <w:t>https://community.mrtrix.org/t/how-to-compute-tract-specific-metrics/2410</w:t>
        </w:r>
      </w:hyperlink>
    </w:p>
    <w:p w14:paraId="1D6CC3B7" w14:textId="4491CB0E" w:rsidR="000E76DA" w:rsidRDefault="00347C02" w:rsidP="00347C02">
      <w:pPr>
        <w:ind w:firstLine="720"/>
        <w:rPr>
          <w:lang w:val="en-US"/>
        </w:rPr>
      </w:pPr>
      <w:hyperlink r:id="rId12" w:history="1">
        <w:r w:rsidRPr="00E42BF6">
          <w:rPr>
            <w:rStyle w:val="Hyperlink"/>
            <w:lang w:val="en-US"/>
          </w:rPr>
          <w:t>https://community.mrtrix.org/t/how-to-extract-fa-value-from-extracted-fibers/4497/4</w:t>
        </w:r>
      </w:hyperlink>
    </w:p>
    <w:p w14:paraId="41B20C8D" w14:textId="77777777" w:rsidR="000E76DA" w:rsidRPr="000E76DA" w:rsidRDefault="000E76DA" w:rsidP="00846FA5">
      <w:pPr>
        <w:rPr>
          <w:lang w:val="en-US"/>
        </w:rPr>
      </w:pPr>
    </w:p>
    <w:p w14:paraId="63E7FA31" w14:textId="77777777" w:rsidR="000E76DA" w:rsidRPr="000E76DA" w:rsidRDefault="000E76DA" w:rsidP="00846FA5">
      <w:pPr>
        <w:rPr>
          <w:lang w:val="en-US"/>
        </w:rPr>
      </w:pPr>
    </w:p>
    <w:p w14:paraId="1B4605BC" w14:textId="6856CD8B" w:rsidR="000E76DA" w:rsidRDefault="000E76DA" w:rsidP="00846FA5">
      <w:pPr>
        <w:rPr>
          <w:sz w:val="28"/>
          <w:szCs w:val="28"/>
          <w:lang w:val="en-US"/>
        </w:rPr>
      </w:pPr>
    </w:p>
    <w:p w14:paraId="65183BF0" w14:textId="77777777" w:rsidR="000E76DA" w:rsidRPr="00846FA5" w:rsidRDefault="000E76DA" w:rsidP="00846FA5">
      <w:pPr>
        <w:rPr>
          <w:sz w:val="28"/>
          <w:szCs w:val="28"/>
          <w:lang w:val="en-US"/>
        </w:rPr>
      </w:pPr>
    </w:p>
    <w:sectPr w:rsidR="000E76DA" w:rsidRPr="00846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F2DC9"/>
    <w:multiLevelType w:val="hybridMultilevel"/>
    <w:tmpl w:val="3B2EC47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5C851D54"/>
    <w:multiLevelType w:val="hybridMultilevel"/>
    <w:tmpl w:val="8304BA9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A5"/>
    <w:rsid w:val="0001516C"/>
    <w:rsid w:val="00020EC2"/>
    <w:rsid w:val="000B7268"/>
    <w:rsid w:val="000E76DA"/>
    <w:rsid w:val="002D7526"/>
    <w:rsid w:val="00325BB4"/>
    <w:rsid w:val="00347C02"/>
    <w:rsid w:val="003C699A"/>
    <w:rsid w:val="004546AB"/>
    <w:rsid w:val="004614F2"/>
    <w:rsid w:val="004F3D61"/>
    <w:rsid w:val="005034D1"/>
    <w:rsid w:val="00580DAC"/>
    <w:rsid w:val="005C1D4B"/>
    <w:rsid w:val="005F1F12"/>
    <w:rsid w:val="00671440"/>
    <w:rsid w:val="0067695D"/>
    <w:rsid w:val="007302FF"/>
    <w:rsid w:val="00846FA5"/>
    <w:rsid w:val="00931E92"/>
    <w:rsid w:val="00967246"/>
    <w:rsid w:val="00B4321C"/>
    <w:rsid w:val="00B535E4"/>
    <w:rsid w:val="00CB6046"/>
    <w:rsid w:val="00CF3FA7"/>
    <w:rsid w:val="00D56486"/>
    <w:rsid w:val="00D601E0"/>
    <w:rsid w:val="00D86A8A"/>
    <w:rsid w:val="00E73FFD"/>
    <w:rsid w:val="00EC343C"/>
    <w:rsid w:val="00ED2B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5073"/>
  <w15:chartTrackingRefBased/>
  <w15:docId w15:val="{5F0E2014-D725-4578-BA05-9788B3EF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6DA"/>
    <w:rPr>
      <w:color w:val="0563C1" w:themeColor="hyperlink"/>
      <w:u w:val="single"/>
    </w:rPr>
  </w:style>
  <w:style w:type="character" w:styleId="UnresolvedMention">
    <w:name w:val="Unresolved Mention"/>
    <w:basedOn w:val="DefaultParagraphFont"/>
    <w:uiPriority w:val="99"/>
    <w:semiHidden/>
    <w:unhideWhenUsed/>
    <w:rsid w:val="000E76DA"/>
    <w:rPr>
      <w:color w:val="605E5C"/>
      <w:shd w:val="clear" w:color="auto" w:fill="E1DFDD"/>
    </w:rPr>
  </w:style>
  <w:style w:type="paragraph" w:styleId="ListParagraph">
    <w:name w:val="List Paragraph"/>
    <w:basedOn w:val="Normal"/>
    <w:uiPriority w:val="34"/>
    <w:qFormat/>
    <w:rsid w:val="00347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community.mrtrix.org/t/how-to-extract-fa-value-from-extracted-fibers/449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med.ncbi.nlm.nih.gov/29309541/" TargetMode="External"/><Relationship Id="rId11" Type="http://schemas.openxmlformats.org/officeDocument/2006/relationships/hyperlink" Target="https://community.mrtrix.org/t/how-to-compute-tract-specific-metrics/2410"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C7F0B-E846-4127-994E-F08653F11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4</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Lenore Tahara-Eckl</dc:creator>
  <cp:keywords/>
  <dc:description/>
  <cp:lastModifiedBy>Lenore Tahara-Eckl</cp:lastModifiedBy>
  <cp:revision>29</cp:revision>
  <dcterms:created xsi:type="dcterms:W3CDTF">2022-07-22T01:47:00Z</dcterms:created>
  <dcterms:modified xsi:type="dcterms:W3CDTF">2022-08-03T03:20:00Z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84126b2d-5a14-3452-99f3-28779ce815ad</vt:lpwstr>
  </property>
  <property fmtid="{D5CDD505-2E9C-101B-9397-08002B2CF9AE}" pid="24" name="Mendeley Citation Style_1">
    <vt:lpwstr>http://www.zotero.org/styles/apa</vt:lpwstr>
  </property>
</Properties>
</file>