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ЗРАЗОК ДОКУМЕНТА — РОЗДІЛ «ВІЙСЬКОВИМ»</w:t>
      </w:r>
    </w:p>
    <w:p>
      <w:pPr>
        <w:pStyle w:val="BodyText"/>
      </w:pPr>
      <w:r>
        <w:rPr>
          <w:iCs/>
          <w:i/>
        </w:rPr>
        <w:t xml:space="preserve">Це зразок заяви для самостійного заповнення. Поля у [квадратних дужках] заповнюються вашими даними. Зразок розрахований на встановлення в порядку окремого провадження факту проживання чоловіка та жінки однією сім’єю без реєстрації шлюбу — зокрема для подальшого оформлення статусу члена сім’ї військовослужбовця, отримання виплат, страхових відшкодувань тощо.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До [найменування суду — за місцем проживання заявника, ст. 316 ЦПК України]</w:t>
      </w:r>
    </w:p>
    <w:p>
      <w:pPr>
        <w:pStyle w:val="BodyText"/>
      </w:pPr>
      <w:r>
        <w:rPr>
          <w:bCs/>
          <w:b/>
        </w:rPr>
        <w:t xml:space="preserve">Заявник:</w:t>
      </w:r>
      <w:r>
        <w:t xml:space="preserve"> </w:t>
      </w:r>
      <w:r>
        <w:t xml:space="preserve">[ПІБ повністю], дата народження [______], РНОКПП [______], адреса: [______], тел.: [______], e-mail: [______]</w:t>
      </w:r>
    </w:p>
    <w:p>
      <w:pPr>
        <w:pStyle w:val="BodyText"/>
      </w:pPr>
      <w:r>
        <w:rPr>
          <w:bCs/>
          <w:b/>
        </w:rPr>
        <w:t xml:space="preserve">Заінтересована особа:</w:t>
      </w:r>
      <w:r>
        <w:t xml:space="preserve"> </w:t>
      </w:r>
      <w:r>
        <w:t xml:space="preserve">[орган Пенсійного фонду України / військова частина / інший орган, для якого встановлення факту має правове значення — за наявності спору щодо факту; якщо спору немає, заінтересованою особою може бути визначено орган, який відмовив у вчиненні дії на підставі відсутності документального підтвердження факту]</w:t>
      </w:r>
    </w:p>
    <w:bookmarkStart w:id="22" w:name="заява"/>
    <w:p>
      <w:pPr>
        <w:pStyle w:val="Heading1"/>
      </w:pPr>
      <w:r>
        <w:t xml:space="preserve">ЗАЯВА</w:t>
      </w:r>
    </w:p>
    <w:bookmarkStart w:id="20" w:name="Xffe53bdb5328ef847df20da9f4f41efe8a2ef2e"/>
    <w:p>
      <w:pPr>
        <w:pStyle w:val="Heading2"/>
      </w:pPr>
      <w:r>
        <w:t xml:space="preserve">про встановлення факту проживання однією сім’єю чоловіка та жінки без реєстрації шлюбу</w:t>
      </w:r>
    </w:p>
    <w:p>
      <w:pPr>
        <w:pStyle w:val="FirstParagraph"/>
      </w:pPr>
      <w:r>
        <w:rPr>
          <w:bCs/>
          <w:b/>
        </w:rPr>
        <w:t xml:space="preserve">Обставини справи:</w:t>
      </w:r>
    </w:p>
    <w:p>
      <w:pPr>
        <w:pStyle w:val="BodyText"/>
      </w:pPr>
      <w:r>
        <w:t xml:space="preserve">Заявник з [дата початку спільного проживання] проживає однією сім’єю з [ПІБ другої особи], дата народження [______], без реєстрації шлюбу, за адресою: [______].</w:t>
      </w:r>
    </w:p>
    <w:p>
      <w:pPr>
        <w:pStyle w:val="BodyText"/>
      </w:pPr>
      <w:r>
        <w:t xml:space="preserve">Спільне проживання однією сім’єю підтверджується, зокрема, такими обставинами: [навести конкретні докази — спільне ведення господарства, спільний бюджет, наявність спільних дітей (ПІБ, дата народження), реєстрація за однією адресою, показання свідків, фотографії, листування, спільні покупки тощо].</w:t>
      </w:r>
    </w:p>
    <w:p>
      <w:pPr>
        <w:pStyle w:val="BodyText"/>
      </w:pPr>
      <w:r>
        <w:t xml:space="preserve">[ПІБ другої особи] з [дата] проходить військову службу у складі [найменування військової частини, без відомостей, що становлять державну таємницю] [/ загинув(ла) [дата] під час виконання обов’язків військової служби, що підтверджується свідоцтвом про смерть та повідомленням командування].</w:t>
      </w:r>
    </w:p>
    <w:p>
      <w:pPr>
        <w:pStyle w:val="BodyText"/>
      </w:pPr>
      <w:r>
        <w:t xml:space="preserve">Встановлення факту проживання Заявника однією сім’єю з [ПІБ другої особи] без реєстрації шлюбу необхідне для [мета встановлення факту — отримання статусу члена сім’ї військовослужбовця; призначення одноразової грошової допомоги/страхового відшкодування у зв’язку із загибеллю (інвалідністю) військовослужбовця; реалізації інших прав, передбачених законодавством про соціальний захист військовослужбовців та членів їхніх сімей].</w:t>
      </w:r>
    </w:p>
    <w:p>
      <w:pPr>
        <w:pStyle w:val="BodyText"/>
      </w:pPr>
      <w:r>
        <w:t xml:space="preserve">[___] [дата] Заявник звернувся до [найменування органу] із заявою про [____], проте у задоволенні заяви було відмовлено у зв’язку з відсутністю документального підтвердження факту спільного проживання, що підтверджується [лист/рішення від [дата] № [______] — за наявності].</w:t>
      </w:r>
    </w:p>
    <w:p>
      <w:pPr>
        <w:pStyle w:val="BodyText"/>
      </w:pPr>
      <w:r>
        <w:t xml:space="preserve">Встановити вказаний факт у позасудовому порядку Заявник не має можливості, оскільки реєстрація шлюбу між Заявником та [ПІБ другої особи] не здійснювалася, а законодавство не передбачає іншого органу, уповноваженого підтверджувати такий факт, окрім суду.</w:t>
      </w:r>
    </w:p>
    <w:p>
      <w:pPr>
        <w:pStyle w:val="BodyText"/>
      </w:pPr>
      <w:r>
        <w:rPr>
          <w:bCs/>
          <w:b/>
        </w:rPr>
        <w:t xml:space="preserve">Правове обґрунтування:</w:t>
      </w:r>
    </w:p>
    <w:p>
      <w:pPr>
        <w:pStyle w:val="BodyText"/>
      </w:pPr>
      <w:r>
        <w:t xml:space="preserve">Відповідно до п. 5 ч. 1 ст. 315 Цивільного процесуального кодексу України суд розглядає справи про встановлення факту проживання однією сім’єю чоловіка та жінки без реєстрації шлюбу.</w:t>
      </w:r>
    </w:p>
    <w:p>
      <w:pPr>
        <w:pStyle w:val="BodyText"/>
      </w:pPr>
      <w:r>
        <w:t xml:space="preserve">Згідно з ч. 1 ст. 315 ЦПК України суд розглядає справи про встановлення факту, якщо: такі факти безпосередньо породжують юридичні наслідки (виникнення, зміну або припинення особистих чи майнових прав громадян); чинним законодавством не передбачено іншого порядку їх встановлення; заявник не має іншої можливості одержати або відновити загублений чи знищений документ, який підтверджує факт, що має юридичне значення; встановлення факту не пов’язується з подальшим вирішенням спору про право.</w:t>
      </w:r>
    </w:p>
    <w:p>
      <w:pPr>
        <w:pStyle w:val="BodyText"/>
      </w:pPr>
      <w:r>
        <w:t xml:space="preserve">Відповідно до ст. 316 ЦПК України заява про встановлення факту, що має юридичне значення, подається до суду за місцем проживання заявника.</w:t>
      </w:r>
    </w:p>
    <w:p>
      <w:pPr>
        <w:pStyle w:val="BodyText"/>
      </w:pPr>
      <w:r>
        <w:t xml:space="preserve">Частиною 1 ст. 3 Сімейного кодексу України визначено, що сім’я є первинним та основним осередком суспільства; сім’ю складають особи, які спільно проживають, пов’язані спільним побутом, мають взаємні права та обов’язки.</w:t>
      </w:r>
    </w:p>
    <w:p>
      <w:pPr>
        <w:pStyle w:val="BodyText"/>
      </w:pPr>
      <w:r>
        <w:t xml:space="preserve">[Якщо встановлення факту стосується прав, пов’язаних із соціальним захистом членів сімей військовослужбовців — навести релевантну норму спеціального законодавства (наприклад, Закону України «Про соціальний і правовий захист військовослужбовців та членів їхніх сімей»), яка визначає коло членів сім’ї військовослужбовця для цілей відповідних виплат, без зазначення конкретної статті, якщо вона не перевірена на момент складання заяви — [ПОТРЕБУЄ ВЕРИФІКАЦІЇ АКТУАЛЬНОЇ РЕДАКЦІЇ ЗАКОНУ НА МОМЕНТ ПОДАННЯ]].</w:t>
      </w:r>
    </w:p>
    <w:p>
      <w:pPr>
        <w:pStyle w:val="BodyText"/>
      </w:pPr>
      <w:r>
        <w:t xml:space="preserve">Враховуючи викладене, факт проживання Заявника та [ПІБ другої особи] однією сім’єю без реєстрації шлюбу безпосередньо породжує юридичні наслідки для Заявника, не може бути встановлений в іншому, позасудовому порядку, та не пов’язується з вирішенням спору про право, а тому підлягає встановленню судом в порядку окремого провадження.</w:t>
      </w:r>
    </w:p>
    <w:p>
      <w:pPr>
        <w:pStyle w:val="BodyText"/>
      </w:pPr>
      <w:r>
        <w:rPr>
          <w:bCs/>
          <w:b/>
        </w:rPr>
        <w:t xml:space="preserve">На підставі викладеного, керуючись ст. 3 Сімейного кодексу України, ст. ст. 4, 12, 13, 293, 315, 316, 319 Цивільного процесуального кодексу України, ПРОШУ:</w:t>
      </w:r>
    </w:p>
    <w:p>
      <w:pPr>
        <w:numPr>
          <w:ilvl w:val="0"/>
          <w:numId w:val="1001"/>
        </w:numPr>
        <w:pStyle w:val="Compact"/>
      </w:pPr>
      <w:r>
        <w:t xml:space="preserve">Встановити факт проживання [ПІБ Заявника] та [ПІБ другої особи] однією сім’єю чоловіка та жінки без реєстрації шлюбу у період з [дата] по [дата / «до теперішнього часу» / «до дня смерті [ПІБ]»].</w:t>
      </w:r>
    </w:p>
    <w:p>
      <w:pPr>
        <w:pStyle w:val="FirstParagraph"/>
      </w:pPr>
      <w:r>
        <w:rPr>
          <w:bCs/>
          <w:b/>
        </w:rPr>
        <w:t xml:space="preserve">Додатки:</w:t>
      </w:r>
      <w:r>
        <w:t xml:space="preserve"> </w:t>
      </w:r>
      <w:r>
        <w:t xml:space="preserve">- Копія заяви та додатків (для заінтересованої особи, за наявності);</w:t>
      </w:r>
      <w:r>
        <w:t xml:space="preserve"> </w:t>
      </w:r>
      <w:r>
        <w:t xml:space="preserve">- Копія паспорта та РНОКПП Заявника;</w:t>
      </w:r>
      <w:r>
        <w:t xml:space="preserve"> </w:t>
      </w:r>
      <w:r>
        <w:t xml:space="preserve">- Документи, що підтверджують спільне проживання (довідка про реєстрацію місця проживання, акт обстеження умов проживання, показання свідків у формі письмових пояснень — за можливості нотаріально засвідчені, фотографії, листування тощо);</w:t>
      </w:r>
      <w:r>
        <w:t xml:space="preserve"> </w:t>
      </w:r>
      <w:r>
        <w:t xml:space="preserve">- Свідоцтво про народження спільної дитини (за наявності);</w:t>
      </w:r>
      <w:r>
        <w:t xml:space="preserve"> </w:t>
      </w:r>
      <w:r>
        <w:t xml:space="preserve">- Документи, що підтверджують проходження військової служби та/або загибель військовослужбовця (за наявності та якщо це стосується мети встановлення факту);</w:t>
      </w:r>
      <w:r>
        <w:t xml:space="preserve"> </w:t>
      </w:r>
      <w:r>
        <w:t xml:space="preserve">- Документ, що підтверджує відмову органу у вчиненні дії з підстав відсутності документального підтвердження факту (за наявності);</w:t>
      </w:r>
      <w:r>
        <w:t xml:space="preserve"> </w:t>
      </w:r>
      <w:r>
        <w:t xml:space="preserve">- Квитанція про сплату судового збору.</w:t>
      </w:r>
    </w:p>
    <w:p>
      <w:pPr>
        <w:pStyle w:val="BodyText"/>
      </w:pPr>
      <w:r>
        <w:t xml:space="preserve">[дата] ___________________ [підпис, ПІБ]</w:t>
      </w:r>
    </w:p>
    <w:p>
      <w:r>
        <w:pict>
          <v:rect style="width:0;height:1.5pt" o:hralign="center" o:hrstd="t" o:hr="t"/>
        </w:pict>
      </w:r>
    </w:p>
    <w:bookmarkEnd w:id="20"/>
    <w:bookmarkStart w:id="21" w:name="X297c545cf499211890928e722f0b8ecde5ae38c"/>
    <w:p>
      <w:pPr>
        <w:pStyle w:val="Heading2"/>
      </w:pPr>
      <w:r>
        <w:t xml:space="preserve">Інформація про судовий збір та порядок подання</w:t>
      </w:r>
    </w:p>
    <w:p>
      <w:pPr>
        <w:pStyle w:val="FirstParagraph"/>
      </w:pPr>
      <w:r>
        <w:t xml:space="preserve">Заява про встановлення факту, що має юридичне значення, розглядається судом у порядку</w:t>
      </w:r>
      <w:r>
        <w:t xml:space="preserve"> </w:t>
      </w:r>
      <w:r>
        <w:rPr>
          <w:bCs/>
          <w:b/>
        </w:rPr>
        <w:t xml:space="preserve">окремого провадження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Орієнтовна ставка станом на 2026 рік (ст. 4 Закону України «Про судовий збір»):</w:t>
      </w:r>
      <w:r>
        <w:t xml:space="preserve"> </w:t>
      </w:r>
      <w:r>
        <w:t xml:space="preserve">0,2 розміру прожиткового мінімуму для працездатних осіб на 1 січня 2026 року (3 328,00 грн) —</w:t>
      </w:r>
      <w:r>
        <w:t xml:space="preserve"> </w:t>
      </w:r>
      <w:r>
        <w:rPr>
          <w:bCs/>
          <w:b/>
        </w:rPr>
        <w:t xml:space="preserve">665,60 грн</w:t>
      </w:r>
      <w:r>
        <w:t xml:space="preserve">.</w:t>
      </w:r>
    </w:p>
    <w:p>
      <w:pPr>
        <w:pStyle w:val="BodyText"/>
      </w:pPr>
      <w:r>
        <w:t xml:space="preserve">При поданні в електронній формі через «Електронний суд» застосовується коефіцієнт 0,8, тобто орієнтовно</w:t>
      </w:r>
      <w:r>
        <w:t xml:space="preserve"> </w:t>
      </w:r>
      <w:r>
        <w:rPr>
          <w:bCs/>
          <w:b/>
        </w:rPr>
        <w:t xml:space="preserve">532,48 грн</w:t>
      </w:r>
      <w:r>
        <w:t xml:space="preserve"> </w:t>
      </w:r>
      <w:r>
        <w:t xml:space="preserve">(ч. 3 ст. 4 Закону).</w:t>
      </w:r>
    </w:p>
    <w:p>
      <w:pPr>
        <w:pStyle w:val="BodyText"/>
      </w:pPr>
      <w:r>
        <w:rPr>
          <w:bCs/>
          <w:b/>
        </w:rPr>
        <w:t xml:space="preserve">Порядок подання:</w:t>
      </w:r>
      <w:r>
        <w:t xml:space="preserve"> </w:t>
      </w:r>
      <w:r>
        <w:t xml:space="preserve">1. Зібрати максимально повний пакет доказів спільного проживання — це визначальний фактор для задоволення заяви, оскільки суд встановлює факт виключно на підставі наданих доказів.</w:t>
      </w:r>
      <w:r>
        <w:t xml:space="preserve"> </w:t>
      </w:r>
      <w:r>
        <w:t xml:space="preserve">2. Сплатити судовий збір за реквізитами суду за місцем проживання заявника.</w:t>
      </w:r>
      <w:r>
        <w:t xml:space="preserve"> </w:t>
      </w:r>
      <w:r>
        <w:t xml:space="preserve">3. Подати заяву з додатками та квитанцією про сплату збору — особисто, поштою або через Електронний кабінет підсистеми «Електронний суд».</w:t>
      </w:r>
      <w:r>
        <w:t xml:space="preserve"> </w:t>
      </w:r>
      <w:r>
        <w:t xml:space="preserve">4. Якщо встановлення факту в подальшому пов’язується зі спором про право (наприклад, інша особа заперечує право заявника на отримання виплат) — справа розглядається за правилами позовного провадження, а не окремого; у такому разі цей зразок не застосовується і потрібна консультація щодо подання позовної заяви.</w:t>
      </w:r>
    </w:p>
    <w:p>
      <w:pPr>
        <w:pStyle w:val="BodyText"/>
      </w:pPr>
      <w:r>
        <w:rPr>
          <w:iCs/>
          <w:i/>
        </w:rPr>
        <w:t xml:space="preserve">Рішення суду про встановлення факту, що має юридичне значення, є підставою для реєстрації цього факту або оформлення прав, що виникають у зв’язку з ним, відповідним органом (Пенсійним фондом, військовою частиною, страховою компанією тощо).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2026-06-12T15:13:32Z</dcterms:created>
  <dcterms:modified xsi:type="dcterms:W3CDTF">2026-06-12T15:13:32Z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