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ЗРАЗОК ДОКУМЕНТА — РОЗДІЛ «ВІЙСЬКОВИМ»</w:t>
      </w:r>
    </w:p>
    <w:p>
      <w:pPr>
        <w:pStyle w:val="BodyText"/>
      </w:pPr>
      <w:r>
        <w:rPr>
          <w:iCs/>
          <w:i/>
        </w:rPr>
        <w:t xml:space="preserve">Це зразок адміністративного позову для самостійного заповнення. Поля у [квадратних дужках] заповнюються вашими даними. Зразок розрахований на оскарження висновку (постанови) військово-лікарської комісії (ВЛК) щодо визначення ступеня придатності до військової служби.</w:t>
      </w:r>
    </w:p>
    <w:p>
      <w:r>
        <w:pict>
          <v:rect style="width:0;height:1.5pt" o:hralign="center" o:hrstd="t" o:hr="t"/>
        </w:pict>
      </w:r>
    </w:p>
    <w:p>
      <w:pPr>
        <w:pStyle w:val="FirstParagraph"/>
      </w:pPr>
      <w:r>
        <w:t xml:space="preserve">До [найменування окружного адміністративного суду — за зареєстрованим місцем проживання позивача, ч. 2 ст. 25 КАС України]</w:t>
      </w:r>
    </w:p>
    <w:p>
      <w:pPr>
        <w:pStyle w:val="BodyText"/>
      </w:pPr>
      <w:r>
        <w:rPr>
          <w:bCs/>
          <w:b/>
        </w:rPr>
        <w:t xml:space="preserve">Позивач:</w:t>
      </w:r>
      <w:r>
        <w:t xml:space="preserve"> </w:t>
      </w:r>
      <w:r>
        <w:t xml:space="preserve">[ПІБ повністю], військовослужбовець / військовозобов’язаний, дата народження [______], РНОКПП [______], адреса: [______], тел.: [______], e-mail: [______]</w:t>
      </w:r>
    </w:p>
    <w:p>
      <w:pPr>
        <w:pStyle w:val="BodyText"/>
      </w:pPr>
      <w:r>
        <w:rPr>
          <w:bCs/>
          <w:b/>
        </w:rPr>
        <w:t xml:space="preserve">Відповідач:</w:t>
      </w:r>
      <w:r>
        <w:t xml:space="preserve"> </w:t>
      </w:r>
      <w:r>
        <w:t xml:space="preserve">[найменування військово-лікарської комісії — наприклад, військово-лікарська комісія [найменування військової частини / закладу охорони здоров’я]], адреса: [______]</w:t>
      </w:r>
    </w:p>
    <w:p>
      <w:pPr>
        <w:pStyle w:val="BodyText"/>
      </w:pPr>
      <w:r>
        <w:rPr>
          <w:bCs/>
          <w:b/>
        </w:rPr>
        <w:t xml:space="preserve">Категорія справи:</w:t>
      </w:r>
      <w:r>
        <w:t xml:space="preserve"> </w:t>
      </w:r>
      <w:r>
        <w:t xml:space="preserve">немайновий спір</w:t>
      </w:r>
    </w:p>
    <w:bookmarkStart w:id="22" w:name="позовна-заява"/>
    <w:p>
      <w:pPr>
        <w:pStyle w:val="Heading1"/>
      </w:pPr>
      <w:r>
        <w:t xml:space="preserve">ПОЗОВНА ЗАЯВА</w:t>
      </w:r>
    </w:p>
    <w:bookmarkStart w:id="20" w:name="X93f561e546a2b2cd8aee1ae1aa39572b1f8b9a1"/>
    <w:p>
      <w:pPr>
        <w:pStyle w:val="Heading2"/>
      </w:pPr>
      <w:r>
        <w:t xml:space="preserve">про визнання протиправним та скасування висновку військово-лікарської комісії</w:t>
      </w:r>
    </w:p>
    <w:p>
      <w:pPr>
        <w:pStyle w:val="FirstParagraph"/>
      </w:pPr>
      <w:r>
        <w:rPr>
          <w:bCs/>
          <w:b/>
        </w:rPr>
        <w:t xml:space="preserve">Обставини справи:</w:t>
      </w:r>
    </w:p>
    <w:p>
      <w:pPr>
        <w:pStyle w:val="BodyText"/>
      </w:pPr>
      <w:r>
        <w:t xml:space="preserve">[___] [дата] Позивач пройшов військово-лікарську комісію у [найменування ВЛК], за результатами якої [номер та дата постанови/висновку ВЛК] Позивача визнано [придатним до військової служби з певними обмеженнями / непридатним за встановленою категорією / встановлено категорію придатності [______]] (далі — Висновок).</w:t>
      </w:r>
    </w:p>
    <w:p>
      <w:pPr>
        <w:pStyle w:val="BodyText"/>
      </w:pPr>
      <w:r>
        <w:t xml:space="preserve">Копію Висновку Позивач отримав [дата], що підтверджується [витягом з протоколу ВЛК / повідомленням про результати медичного огляду].</w:t>
      </w:r>
    </w:p>
    <w:p>
      <w:pPr>
        <w:pStyle w:val="BodyText"/>
      </w:pPr>
      <w:r>
        <w:t xml:space="preserve">Позивач не погоджується з Висновком з огляду на таке: [викласти конкретні підстави незгоди — наприклад: Висновок не враховує наявні у Позивача захворювання, підтверджені медичною документацією від [дата]; обстеження проведено не в повному обсязі, передбаченому Положенням про військово-лікарську експертизу; Висновок суперечить наявним медичним документам про стан здоров’я Позивача, виданим до проходження ВЛК].</w:t>
      </w:r>
    </w:p>
    <w:p>
      <w:pPr>
        <w:pStyle w:val="BodyText"/>
      </w:pPr>
      <w:r>
        <w:t xml:space="preserve">На підтвердження стану здоров’я, який не було враховано Висновком, Позивач має такі медичні документи: [перелік — виписки, висновки спеціалістів, результати досліджень, із зазначенням дат і закладів охорони здоров’я].</w:t>
      </w:r>
    </w:p>
    <w:p>
      <w:pPr>
        <w:pStyle w:val="BodyText"/>
      </w:pPr>
      <w:r>
        <w:t xml:space="preserve">[___] [дата] Позивач звернувся до [найменування органу — наприклад, центральної військово-лікарської комісії] зі скаргою на Висновок в адміністративному порядку, [скаргу залишено без задоволення рішенням від [дата] № [______] / відповіді не отримано протягом установленого строку].</w:t>
      </w:r>
    </w:p>
    <w:p>
      <w:pPr>
        <w:pStyle w:val="BodyText"/>
      </w:pPr>
      <w:r>
        <w:rPr>
          <w:bCs/>
          <w:b/>
        </w:rPr>
        <w:t xml:space="preserve">Правове обґрунтування:</w:t>
      </w:r>
    </w:p>
    <w:p>
      <w:pPr>
        <w:pStyle w:val="BodyText"/>
      </w:pPr>
      <w:r>
        <w:t xml:space="preserve">Відповідно до ч. 1 ст. 2 Кодексу адміністративного судочинства України завданням адміністративного судочинства є справедливе, неупереджене та своєчасне вирішення судом спорів у сфері публічно-правових відносин з метою ефективного захисту прав, свобод та інтересів фізичних осіб від порушень з боку суб’єктів владних повноважень.</w:t>
      </w:r>
    </w:p>
    <w:p>
      <w:pPr>
        <w:pStyle w:val="BodyText"/>
      </w:pPr>
      <w:r>
        <w:t xml:space="preserve">Частиною 2 ст. 2 КАС України визначено критерії, за якими адміністративний суд перевіряє рішення суб’єкта владних повноважень: чи прийняте воно на підставі, у межах повноважень та у спосіб, що передбачені законодавством; обґрунтовано, тобто з урахуванням усіх обставин, що мають значення; добросовісно та розсудливо.</w:t>
      </w:r>
    </w:p>
    <w:p>
      <w:pPr>
        <w:pStyle w:val="BodyText"/>
      </w:pPr>
      <w:r>
        <w:t xml:space="preserve">Висновок військово-лікарської комісії є рішенням суб’єкта владних повноважень, яке безпосередньо впливає на права та обов’язки військовослужбовця (військовозобов’язаного), зокрема щодо продовження проходження військової служби, можливості направлення для виконання бойових (службових) завдань, права на звільнення зі служби за станом здоров’я тощо, а тому підлягає судовому контролю на загальних підставах, передбачених КАС України.</w:t>
      </w:r>
    </w:p>
    <w:p>
      <w:pPr>
        <w:pStyle w:val="BodyText"/>
      </w:pPr>
      <w:r>
        <w:t xml:space="preserve">[Навести конкретну норму Положення про військово-лікарську експертизу в Збройних Силах України (затвердженого наказом Міністра оборони України), яка регулює порядок проведення відповідного виду огляду та порядок оскарження висновків ВЛК — без зазначення номера наказу та дати, якщо вони не перевірені на момент складання позову [ПОТРЕБУЄ ВЕРИФІКАЦІЇ АКТУАЛЬНОЇ РЕДАКЦІЇ ПОЛОЖЕННЯ ПРО ВІЙСЬКОВО-ЛІКАРСЬКУ ЕКСПЕРТИЗУ НА МОМЕНТ ПОДАННЯ ПОЗОВУ]].</w:t>
      </w:r>
    </w:p>
    <w:p>
      <w:pPr>
        <w:pStyle w:val="BodyText"/>
      </w:pPr>
      <w:r>
        <w:t xml:space="preserve">Враховуючи викладене, Висновок прийнятий без всебічного урахування наявних у Позивача медичних документів, що свідчить про його необґрунтованість у розумінні ч. 2 ст. 2 КАС України, а тому підлягає визнанню протиправним та скасуванню, а питання щодо визначення категорії придатності Позивача до військової служби — направленню на повторний розгляд ВЛК.</w:t>
      </w:r>
    </w:p>
    <w:p>
      <w:pPr>
        <w:pStyle w:val="BodyText"/>
      </w:pPr>
      <w:r>
        <w:rPr>
          <w:bCs/>
          <w:b/>
        </w:rPr>
        <w:t xml:space="preserve">На підставі викладеного, керуючись ст. ст. 2, 5, 19, 122, 160, 161 Кодексу адміністративного судочинства України, ПРОШУ:</w:t>
      </w:r>
    </w:p>
    <w:p>
      <w:pPr>
        <w:numPr>
          <w:ilvl w:val="0"/>
          <w:numId w:val="1001"/>
        </w:numPr>
        <w:pStyle w:val="Compact"/>
      </w:pPr>
      <w:r>
        <w:t xml:space="preserve">Визнати протиправним та скасувати Висновок [найменування ВЛК] № [______] від [дата] щодо [ПІБ Позивача].</w:t>
      </w:r>
    </w:p>
    <w:p>
      <w:pPr>
        <w:numPr>
          <w:ilvl w:val="0"/>
          <w:numId w:val="1001"/>
        </w:numPr>
        <w:pStyle w:val="Compact"/>
      </w:pPr>
      <w:r>
        <w:t xml:space="preserve">Зобов’язати [найменування ВЛК / центральну військово-лікарську комісію] провести повторний медичний огляд Позивача з урахуванням наявної медичної документації та прийняти новий висновок щодо ступеня придатності Позивача до військової служби.</w:t>
      </w:r>
    </w:p>
    <w:p>
      <w:pPr>
        <w:numPr>
          <w:ilvl w:val="0"/>
          <w:numId w:val="1001"/>
        </w:numPr>
        <w:pStyle w:val="Compact"/>
      </w:pPr>
      <w:r>
        <w:t xml:space="preserve">Стягнути з Відповідача на користь Позивача сплачений судовий збір.</w:t>
      </w:r>
    </w:p>
    <w:p>
      <w:pPr>
        <w:pStyle w:val="FirstParagraph"/>
      </w:pPr>
      <w:r>
        <w:rPr>
          <w:bCs/>
          <w:b/>
        </w:rPr>
        <w:t xml:space="preserve">Додатки:</w:t>
      </w:r>
      <w:r>
        <w:t xml:space="preserve"> </w:t>
      </w:r>
      <w:r>
        <w:t xml:space="preserve">- Копія паспорта та РНОКПП Позивача;</w:t>
      </w:r>
      <w:r>
        <w:t xml:space="preserve"> </w:t>
      </w:r>
      <w:r>
        <w:t xml:space="preserve">- Копія Висновку ВЛК, що оскаржується;</w:t>
      </w:r>
      <w:r>
        <w:t xml:space="preserve"> </w:t>
      </w:r>
      <w:r>
        <w:t xml:space="preserve">- Медичні документи, що підтверджують обставини, викладені у позові (виписки, висновки спеціалістів, результати досліджень);</w:t>
      </w:r>
      <w:r>
        <w:t xml:space="preserve"> </w:t>
      </w:r>
      <w:r>
        <w:t xml:space="preserve">- Документи, що підтверджують звернення зі скаргою в адміністративному порядку та результат її розгляду (за наявності);</w:t>
      </w:r>
      <w:r>
        <w:t xml:space="preserve"> </w:t>
      </w:r>
      <w:r>
        <w:t xml:space="preserve">- Документ, що підтверджує дату отримання Висновку (для підтвердження дотримання строку звернення до суду);</w:t>
      </w:r>
      <w:r>
        <w:t xml:space="preserve"> </w:t>
      </w:r>
      <w:r>
        <w:t xml:space="preserve">- Квитанція про сплату судового збору.</w:t>
      </w:r>
    </w:p>
    <w:p>
      <w:pPr>
        <w:pStyle w:val="BodyText"/>
      </w:pPr>
      <w:r>
        <w:t xml:space="preserve">[дата] ___________________ [підпис, ПІБ]</w:t>
      </w:r>
    </w:p>
    <w:p>
      <w:r>
        <w:pict>
          <v:rect style="width:0;height:1.5pt" o:hralign="center" o:hrstd="t" o:hr="t"/>
        </w:pict>
      </w:r>
    </w:p>
    <w:bookmarkEnd w:id="20"/>
    <w:bookmarkStart w:id="21" w:name="X297c545cf499211890928e722f0b8ecde5ae38c"/>
    <w:p>
      <w:pPr>
        <w:pStyle w:val="Heading2"/>
      </w:pPr>
      <w:r>
        <w:t xml:space="preserve">Інформація про судовий збір та порядок подання</w:t>
      </w:r>
    </w:p>
    <w:p>
      <w:pPr>
        <w:pStyle w:val="FirstParagraph"/>
      </w:pPr>
      <w:r>
        <w:t xml:space="preserve">Позов про визнання протиправним та скасування рішення (висновку) військово-лікарської комісії, поданий фізичною особою, має</w:t>
      </w:r>
      <w:r>
        <w:t xml:space="preserve"> </w:t>
      </w:r>
      <w:r>
        <w:rPr>
          <w:bCs/>
          <w:b/>
        </w:rPr>
        <w:t xml:space="preserve">немайновий характер</w:t>
      </w:r>
      <w:r>
        <w:t xml:space="preserve">.</w:t>
      </w:r>
    </w:p>
    <w:p>
      <w:pPr>
        <w:pStyle w:val="BodyText"/>
      </w:pPr>
      <w:r>
        <w:rPr>
          <w:bCs/>
          <w:b/>
        </w:rPr>
        <w:t xml:space="preserve">Орієнтовна ставка станом на 2026 рік (ст. 4 Закону України «Про судовий збір»):</w:t>
      </w:r>
      <w:r>
        <w:t xml:space="preserve"> </w:t>
      </w:r>
      <w:r>
        <w:t xml:space="preserve">0,4 розміру прожиткового мінімуму для працездатних осіб на 1 січня 2026 року (3 328,00 грн) —</w:t>
      </w:r>
      <w:r>
        <w:t xml:space="preserve"> </w:t>
      </w:r>
      <w:r>
        <w:rPr>
          <w:bCs/>
          <w:b/>
        </w:rPr>
        <w:t xml:space="preserve">1 331,20 грн</w:t>
      </w:r>
      <w:r>
        <w:t xml:space="preserve">.</w:t>
      </w:r>
    </w:p>
    <w:p>
      <w:pPr>
        <w:pStyle w:val="BodyText"/>
      </w:pPr>
      <w:r>
        <w:t xml:space="preserve">При поданні в електронній формі через «Електронний суд» застосовується коефіцієнт 0,8, тобто орієнтовно</w:t>
      </w:r>
      <w:r>
        <w:t xml:space="preserve"> </w:t>
      </w:r>
      <w:r>
        <w:rPr>
          <w:bCs/>
          <w:b/>
        </w:rPr>
        <w:t xml:space="preserve">1 064,96 грн</w:t>
      </w:r>
      <w:r>
        <w:t xml:space="preserve"> </w:t>
      </w:r>
      <w:r>
        <w:t xml:space="preserve">(ч. 3 ст. 4 Закону).</w:t>
      </w:r>
    </w:p>
    <w:p>
      <w:pPr>
        <w:pStyle w:val="BodyText"/>
      </w:pPr>
      <w:r>
        <w:rPr>
          <w:bCs/>
          <w:b/>
        </w:rPr>
        <w:t xml:space="preserve">Строк звернення до суду:</w:t>
      </w:r>
      <w:r>
        <w:t xml:space="preserve"> </w:t>
      </w:r>
      <w:r>
        <w:t xml:space="preserve">відповідно до ч. 2 ст. 122 КАС України загальний строк звернення до адміністративного суду складає шість місяців з дня, коли особа дізналася або повинна була дізнатися про порушення своїх прав. Перед поданням позову перевірте, чи не встановлено для оскарження висновків ВЛК іншого (скороченого) строку спеціальним законодавством, а також чи не передбачено обов’язкового досудового (адміністративного) порядку оскарження як умови звернення до суду.</w:t>
      </w:r>
    </w:p>
    <w:p>
      <w:pPr>
        <w:pStyle w:val="BodyText"/>
      </w:pPr>
      <w:r>
        <w:rPr>
          <w:bCs/>
          <w:b/>
        </w:rPr>
        <w:t xml:space="preserve">Порядок подання:</w:t>
      </w:r>
      <w:r>
        <w:t xml:space="preserve"> </w:t>
      </w:r>
      <w:r>
        <w:t xml:space="preserve">1. Зібрати повний пакет медичної документації, яка не була врахована (або врахована неповно) під час проходження ВЛК.</w:t>
      </w:r>
      <w:r>
        <w:t xml:space="preserve"> </w:t>
      </w:r>
      <w:r>
        <w:t xml:space="preserve">2. За наявності встановленого порядку — попередньо звернутися зі скаргою до вищої ВЛК (центральної військово-лікарської комісії) в адміністративному порядку.</w:t>
      </w:r>
      <w:r>
        <w:t xml:space="preserve"> </w:t>
      </w:r>
      <w:r>
        <w:t xml:space="preserve">3. Сплатити судовий збір за реквізитами окружного адміністративного суду за місцем проживання позивача.</w:t>
      </w:r>
      <w:r>
        <w:t xml:space="preserve"> </w:t>
      </w:r>
      <w:r>
        <w:t xml:space="preserve">4. Подати позовну заяву з додатками та квитанцією про сплату збору — особисто, поштою або через Електронний кабінет підсистеми «Електронний суд».</w:t>
      </w:r>
    </w:p>
    <w:p>
      <w:pPr>
        <w:pStyle w:val="BodyText"/>
      </w:pPr>
      <w:r>
        <w:rPr>
          <w:iCs/>
          <w:i/>
        </w:rPr>
        <w:t xml:space="preserve">У разі задоволення позову суд стягує сплачений судовий збір з відповідача на користь позивача (ст. 139 КАС України). Скасування висновку ВЛК судом не означає автоматичного встановлення бажаної Позивачем категорії придатності — питання направляється на повторний розгляд комісії з урахуванням наданих доказів.</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2026-06-12T15:13:32Z</dcterms:created>
  <dcterms:modified xsi:type="dcterms:W3CDTF">2026-06-12T15:13:32Z</dcterms:modified>
</cp:coreProperties>
</file>

<file path=docProps/custom.xml><?xml version="1.0" encoding="utf-8"?>
<Properties xmlns="http://schemas.openxmlformats.org/officeDocument/2006/custom-properties" xmlns:vt="http://schemas.openxmlformats.org/officeDocument/2006/docPropsVTypes"/>
</file>