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CD4AE3" w:rsidP="00164024">
      <w:pPr>
        <w:spacing w:line="400" w:lineRule="exact"/>
        <w:jc w:val="center"/>
        <w:rPr>
          <w:rFonts w:ascii="Arial" w:eastAsia="微軟正黑體" w:hAnsi="Arial"/>
        </w:rPr>
      </w:pPr>
      <w:r w:rsidRPr="00CD683E">
        <w:rPr>
          <w:rFonts w:ascii="Arial" w:eastAsia="微軟正黑體" w:hAnsi="Arial"/>
        </w:rPr>
        <w:t>Experiment 1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Pr="00CD683E">
        <w:rPr>
          <w:rFonts w:ascii="Arial" w:eastAsia="微軟正黑體" w:hAnsi="Arial" w:hint="eastAsia"/>
          <w:szCs w:val="36"/>
        </w:rPr>
        <w:t>以特徵挑選與球型複數類神經模糊系統進行時間序列預測</w:t>
      </w:r>
      <w:r w:rsidRPr="00CD683E">
        <w:rPr>
          <w:rFonts w:ascii="Arial" w:eastAsia="微軟正黑體" w:hAnsi="Arial" w:hint="eastAsia"/>
        </w:rPr>
        <w:t>》的實驗一：特徵的擷取與影響一節中，透過變更特徵選取的數量和方式驗證特徵選取架構的有效性。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000001.SS(2018)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^HSI(2018)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^N225(2018)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cs="Arial"/>
          <w:szCs w:val="24"/>
          <w:shd w:val="clear" w:color="auto" w:fill="FFFFFF"/>
        </w:rPr>
        <w:t>道瓊工業平均指數</w:t>
      </w:r>
      <w:r w:rsidRPr="00CD683E">
        <w:rPr>
          <w:rFonts w:ascii="Arial" w:eastAsia="微軟正黑體" w:hAnsi="Arial" w:hint="eastAsia"/>
        </w:rPr>
        <w:t>（</w:t>
      </w:r>
      <w:r w:rsidRPr="00CD683E">
        <w:rPr>
          <w:rFonts w:ascii="Arial" w:eastAsia="微軟正黑體" w:hAnsi="Arial"/>
        </w:rPr>
        <w:t>DJI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^DJI(2018)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Pr="00164024">
        <w:rPr>
          <w:rFonts w:ascii="Arial" w:eastAsia="微軟正黑體" w:hAnsi="Arial"/>
          <w:b/>
          <w:szCs w:val="36"/>
        </w:rPr>
        <w:t>Ex1_main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8A5813" w:rsidRPr="00CD683E" w:rsidTr="00164024">
        <w:trPr>
          <w:trHeight w:val="567"/>
        </w:trPr>
        <w:tc>
          <w:tcPr>
            <w:tcW w:w="4148" w:type="dxa"/>
            <w:vAlign w:val="center"/>
          </w:tcPr>
          <w:p w:rsidR="008A5813" w:rsidRPr="00BA341E" w:rsidRDefault="008A5813" w:rsidP="008A581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8A5813" w:rsidRPr="00CD683E" w:rsidRDefault="008A5813" w:rsidP="008A5813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8A5813" w:rsidRDefault="008A581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8A5813" w:rsidRDefault="008A581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8A5813" w:rsidRDefault="008A581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bookmarkStart w:id="0" w:name="_GoBack"/>
      <w:bookmarkEnd w:id="0"/>
      <w:r w:rsidRPr="00163724">
        <w:rPr>
          <w:rFonts w:ascii="Arial" w:eastAsia="微軟正黑體" w:hAnsi="Arial" w:hint="eastAsia"/>
          <w:b/>
          <w:szCs w:val="36"/>
        </w:rPr>
        <w:lastRenderedPageBreak/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163724"/>
    <w:rsid w:val="00164024"/>
    <w:rsid w:val="003C3AE3"/>
    <w:rsid w:val="004C32ED"/>
    <w:rsid w:val="00550ABD"/>
    <w:rsid w:val="00581A73"/>
    <w:rsid w:val="00661650"/>
    <w:rsid w:val="008A5813"/>
    <w:rsid w:val="00AE0DFE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F79EBB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3</cp:revision>
  <dcterms:created xsi:type="dcterms:W3CDTF">2019-07-16T16:27:00Z</dcterms:created>
  <dcterms:modified xsi:type="dcterms:W3CDTF">2019-07-17T20:06:00Z</dcterms:modified>
</cp:coreProperties>
</file>