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A53733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 w:rsidR="002B5268">
        <w:rPr>
          <w:rFonts w:ascii="Arial" w:eastAsia="微軟正黑體" w:hAnsi="Arial" w:hint="eastAsia"/>
        </w:rPr>
        <w:t>3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="00083B83" w:rsidRPr="00083B83">
        <w:rPr>
          <w:rFonts w:ascii="Arial" w:eastAsia="微軟正黑體" w:hAnsi="Arial" w:hint="eastAsia"/>
          <w:szCs w:val="36"/>
        </w:rPr>
        <w:t>基於特徵挑選之智慧型時間序列預測研究</w:t>
      </w:r>
      <w:r w:rsidRPr="00CD683E">
        <w:rPr>
          <w:rFonts w:ascii="Arial" w:eastAsia="微軟正黑體" w:hAnsi="Arial" w:hint="eastAsia"/>
        </w:rPr>
        <w:t>》</w:t>
      </w:r>
      <w:r w:rsidR="002B5268">
        <w:rPr>
          <w:rFonts w:ascii="Arial" w:eastAsia="微軟正黑體" w:hAnsi="Arial" w:hint="eastAsia"/>
        </w:rPr>
        <w:t>的實驗三</w:t>
      </w:r>
      <w:r w:rsidRPr="00CD683E">
        <w:rPr>
          <w:rFonts w:ascii="Arial" w:eastAsia="微軟正黑體" w:hAnsi="Arial" w:hint="eastAsia"/>
        </w:rPr>
        <w:t>：</w:t>
      </w:r>
      <w:r w:rsidR="002B5268">
        <w:rPr>
          <w:rFonts w:ascii="Arial" w:eastAsia="微軟正黑體" w:hAnsi="Arial" w:hint="eastAsia"/>
        </w:rPr>
        <w:t>國際金融市場的相互作用</w:t>
      </w:r>
      <w:r w:rsidRPr="00CD683E">
        <w:rPr>
          <w:rFonts w:ascii="Arial" w:eastAsia="微軟正黑體" w:hAnsi="Arial" w:hint="eastAsia"/>
        </w:rPr>
        <w:t>一節中，</w:t>
      </w:r>
      <w:r w:rsidR="002B5268">
        <w:rPr>
          <w:rFonts w:ascii="Arial" w:eastAsia="微軟正黑體" w:hAnsi="Arial" w:hint="eastAsia"/>
        </w:rPr>
        <w:t>透過汲取多國股市資料進行四目標預測證實模型多目標預測</w:t>
      </w:r>
      <w:r w:rsidRPr="00CD683E">
        <w:rPr>
          <w:rFonts w:ascii="Arial" w:eastAsia="微軟正黑體" w:hAnsi="Arial" w:hint="eastAsia"/>
        </w:rPr>
        <w:t>的有效性。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000001.SS(20</w:t>
      </w:r>
      <w:r w:rsidR="002B5268">
        <w:rPr>
          <w:rFonts w:ascii="Arial" w:eastAsia="微軟正黑體" w:hAnsi="Arial" w:hint="eastAsia"/>
        </w:rPr>
        <w:t>03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^HSI(20</w:t>
      </w:r>
      <w:r w:rsidR="002B5268">
        <w:rPr>
          <w:rFonts w:ascii="Arial" w:eastAsia="微軟正黑體" w:hAnsi="Arial" w:hint="eastAsia"/>
        </w:rPr>
        <w:t>03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^N225(20</w:t>
      </w:r>
      <w:r w:rsidR="002B5268">
        <w:rPr>
          <w:rFonts w:ascii="Arial" w:eastAsia="微軟正黑體" w:hAnsi="Arial" w:hint="eastAsia"/>
        </w:rPr>
        <w:t>03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083B83"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 w:rsidR="00083B83"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 w:rsidR="002B5268" w:rsidRPr="002B5268">
        <w:rPr>
          <w:rFonts w:ascii="Arial" w:eastAsia="微軟正黑體" w:hAnsi="Arial"/>
        </w:rPr>
        <w:t>2000-2003^IXIC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A53733">
        <w:rPr>
          <w:rFonts w:ascii="Arial" w:eastAsia="微軟正黑體" w:hAnsi="Arial"/>
          <w:b/>
          <w:szCs w:val="36"/>
        </w:rPr>
        <w:t>Ex</w:t>
      </w:r>
      <w:r w:rsidR="005D6C0A">
        <w:rPr>
          <w:rFonts w:ascii="Arial" w:eastAsia="微軟正黑體" w:hAnsi="Arial" w:hint="eastAsia"/>
          <w:b/>
          <w:szCs w:val="36"/>
        </w:rPr>
        <w:t>6</w:t>
      </w:r>
      <w:bookmarkStart w:id="0" w:name="_GoBack"/>
      <w:bookmarkEnd w:id="0"/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3724">
        <w:rPr>
          <w:rFonts w:ascii="Arial" w:eastAsia="微軟正黑體" w:hAnsi="Arial" w:hint="eastAsia"/>
          <w:b/>
          <w:szCs w:val="36"/>
        </w:rPr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083B83"/>
    <w:rsid w:val="00163724"/>
    <w:rsid w:val="00164024"/>
    <w:rsid w:val="002B5268"/>
    <w:rsid w:val="003C3AE3"/>
    <w:rsid w:val="004C32ED"/>
    <w:rsid w:val="00550ABD"/>
    <w:rsid w:val="00581A73"/>
    <w:rsid w:val="005D6C0A"/>
    <w:rsid w:val="00661650"/>
    <w:rsid w:val="00A53733"/>
    <w:rsid w:val="00AE0DFE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C016D1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3</cp:revision>
  <dcterms:created xsi:type="dcterms:W3CDTF">2019-07-17T20:00:00Z</dcterms:created>
  <dcterms:modified xsi:type="dcterms:W3CDTF">2019-07-17T20:13:00Z</dcterms:modified>
</cp:coreProperties>
</file>