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/>
      <w:r>
        <w:drawing>
          <wp:inline distT="0" distB="0" distL="0" distR="0">
            <wp:extent cx="5274310" cy="48990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1997年，具体到导盲犬的政策法规颁布并落地，自2005年起至2019年，每年都有政策法规提及导盲犬与盲人的权益，与导盲犬相关的政策法规呈不断积累、完善的态势。</w:t>
      </w:r>
    </w:p>
    <w:p>
      <w:pPr>
        <w:rPr>
          <w:rFonts w:hint="eastAsia"/>
          <w:lang w:eastAsia="zh-CN"/>
        </w:rPr>
      </w:pPr>
    </w:p>
    <w:p>
      <w:pPr/>
    </w:p>
    <w:p>
      <w:pPr>
        <w:rPr>
          <w:rFonts w:hint="eastAsia"/>
        </w:rPr>
      </w:pPr>
      <w:r>
        <w:drawing>
          <wp:inline distT="0" distB="0" distL="0" distR="0">
            <wp:extent cx="5274310" cy="390969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在与导盲犬相关政策中，占比最大的是地方性的法规。二十年光景，各个地方落实国家部门颁布的文件、规章，与导盲犬相关的政策遍及全国。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法律法规是导盲犬们的“通行证”，它不仅帮助导盲犬们更好地完成他们的使命，为盲人带来便利；</w:t>
      </w:r>
      <w:bookmarkStart w:id="0" w:name="_GoBack"/>
      <w:bookmarkEnd w:id="0"/>
      <w:r>
        <w:rPr>
          <w:rFonts w:hint="eastAsia"/>
          <w:lang w:eastAsia="zh-CN"/>
        </w:rPr>
        <w:t>也敲开了大众的“心门”，让更多人接纳导盲犬们。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4</Characters>
  <Lines>1</Lines>
  <Paragraphs>1</Paragraphs>
  <ScaleCrop>false</ScaleCrop>
  <LinksUpToDate>false</LinksUpToDate>
  <CharactersWithSpaces>4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2020-08-24T03:40:00Z</dcterms:created>
  <dc:creator>zhangyufan</dc:creator>
  <cp:lastModifiedBy>cbb的iphone</cp:lastModifiedBy>
  <dcterms:modified xsi:type="dcterms:W3CDTF">2020-08-24T00:12:06Z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2052-10.14.0</vt:lpwstr>
  </property>
</Properties>
</file>