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20" w:before="240"/>
      </w:pPr>
      <w:r>
        <w:t xml:space="preserve">医疗智能体产品矩阵——学员材料</w:t>
      </w:r>
    </w:p>
    <w:p>
      <w:pPr>
        <w:spacing w:after="100" w:line="300"/>
      </w:pPr>
      <w:r>
        <w:t xml:space="preserve">这份材料讲清楚一件事:</w:t>
      </w:r>
      <w:r>
        <w:rPr>
          <w:b/>
          <w:bCs/>
        </w:rPr>
        <w:t xml:space="preserve">我们卖给医院的,是这一批医疗智能体产品</w:t>
      </w:r>
      <w:r>
        <w:t xml:space="preserve">——围绕人力、运营、临床质量四条业务线,一个个能真正干活的智能体。至于造这些智能体的工具(纳米Work 企业智能体平台)和数据底座(SDR),那是</w:t>
      </w:r>
      <w:r>
        <w:rPr>
          <w:b/>
          <w:bCs/>
        </w:rPr>
        <w:t xml:space="preserve">生产资料</w:t>
      </w:r>
      <w:r>
        <w:t xml:space="preserve">,属技术支线,不是卖点本身,别混。</w:t>
      </w:r>
    </w:p>
    <w:p>
      <w:pPr>
        <w:spacing w:after="100" w:line="300"/>
      </w:pPr>
      <w:r>
        <w:t xml:space="preserve">用法:阶段一进场前把这张矩阵背下来,客户按科室一对号,你就能说出"你们这个场景对应我们的 XX 智能体、解决 XX 问题"。这是产品支线(卖什么)的核心底稿。</w:t>
      </w:r>
    </w:p>
    <w:p>
      <w:pPr>
        <w:spacing w:after="100" w:line="300"/>
      </w:pPr>
      <w:r>
        <w:t xml:space="preserve">配套读:纳米Work企业智能体平台(造智能体的工具)、SDR数据基座(数据底座)、医疗智能体一体化架构(整体怎么贯通)。</w:t>
      </w:r>
    </w:p>
    <w:p/>
    <w:p>
      <w:pPr>
        <w:pStyle w:val="Heading2"/>
        <w:keepNext/>
        <w:spacing w:after="120" w:before="240"/>
      </w:pPr>
      <w:r>
        <w:t xml:space="preserve">一、一句话定位</w:t>
      </w:r>
    </w:p>
    <w:p>
      <w:pPr>
        <w:spacing w:after="100" w:line="300"/>
      </w:pPr>
      <w:r>
        <w:rPr>
          <w:b/>
          <w:bCs/>
        </w:rPr>
        <w:t xml:space="preserve">卖的是医疗智能体,不是平台。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我们卖什么</w:t>
      </w:r>
      <w:r>
        <w:t xml:space="preserve">:面向医院各科室的医疗智能体产品(下表 14 个),客户买的是"解决我科室某个具体问题的智能体"。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我们用什么造</w:t>
      </w:r>
      <w:r>
        <w:t xml:space="preserve">:纳米Work 企业智能体平台(搭/跑/管智能体的工具)+ SDR 安全数据基座(数据底座)。这些是我方的生产资料,对客户不作为独立卖点。</w:t>
      </w:r>
    </w:p>
    <w:p>
      <w:pPr>
        <w:spacing w:after="100" w:line="300"/>
      </w:pPr>
      <w:r>
        <w:t xml:space="preserve">现场话术:客户问"你们有啥",答的是</w:t>
      </w:r>
      <w:r>
        <w:rPr>
          <w:b/>
          <w:bCs/>
        </w:rPr>
        <w:t xml:space="preserve">智能体清单</w:t>
      </w:r>
      <w:r>
        <w:t xml:space="preserve">(下表);客户问"数据安不安全、怎么私有化",才讲底座(平台 + SDR + 一体化架构)。</w:t>
      </w:r>
    </w:p>
    <w:p/>
    <w:p>
      <w:pPr>
        <w:pStyle w:val="Heading2"/>
        <w:keepNext/>
        <w:spacing w:after="120" w:before="240"/>
      </w:pPr>
      <w:r>
        <w:t xml:space="preserve">二、产品矩阵总表(按业务线分组)</w:t>
      </w:r>
    </w:p>
    <w:p>
      <w:pPr>
        <w:spacing w:after="100" w:line="300"/>
      </w:pPr>
      <w:r>
        <w:t xml:space="preserve">下表是当前医疗智能体产品全景,按科室/业务线归组。进场前按"目标科室"这一列对号入座。</w:t>
      </w:r>
    </w:p>
    <w:p>
      <w:pPr>
        <w:spacing w:after="100" w:line="300"/>
      </w:pPr>
      <w:r>
        <w:drawing>
          <wp:inline distT="0" distB="0" distL="0" distR="0">
            <wp:extent cx="5143500" cy="2939143"/>
            <wp:effectExtent t="0" r="0" b="0" l="0"/>
            <wp:docPr id="1" name="文档图片" descr="医疗智能体产品矩阵——四条业务线 14 个智能体" title="医疗智能体产品矩阵——四条业务线 14 个智能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3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00"/>
      </w:pPr>
      <w:r>
        <w:t xml:space="preserve">图注:四条业务线分组,共 14 个医疗智能体;底部为统一承载与供数底座。详细"解决什么 + 目标科室"见下方分组表。</w:t>
      </w:r>
    </w:p>
    <w:p>
      <w:pPr>
        <w:pStyle w:val="Heading3"/>
        <w:keepNext/>
        <w:spacing w:after="120" w:before="240"/>
      </w:pPr>
      <w:r>
        <w:t xml:space="preserve">人力资源线(给人事处 / 组织部 / 院领导)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智能体</w:t>
            </w:r>
          </w:p>
        </w:tc>
        <w:tc>
          <w:tcPr>
            <w:gridSpan w:val="1"/>
            <w:shd w:fill="EDF3FC"/>
          </w:tcPr>
          <w:p>
            <w:r>
              <w:t xml:space="preserve">目标(解决什么)</w:t>
            </w:r>
          </w:p>
        </w:tc>
        <w:tc>
          <w:tcPr>
            <w:gridSpan w:val="1"/>
            <w:shd w:fill="EDF3FC"/>
          </w:tcPr>
          <w:p>
            <w:r>
              <w:t xml:space="preserve">目标科室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人事基础库智能体</w:t>
            </w:r>
          </w:p>
        </w:tc>
        <w:tc>
          <w:tcPr>
            <w:gridSpan w:val="1"/>
          </w:tcPr>
          <w:p>
            <w:r>
              <w:t xml:space="preserve">沉淀可信、可追溯的人事与证照数据底座</w:t>
            </w:r>
          </w:p>
        </w:tc>
        <w:tc>
          <w:tcPr>
            <w:gridSpan w:val="1"/>
          </w:tcPr>
          <w:p>
            <w:r>
              <w:t xml:space="preserve">人事处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人事工作流智能体</w:t>
            </w:r>
          </w:p>
        </w:tc>
        <w:tc>
          <w:tcPr>
            <w:gridSpan w:val="1"/>
          </w:tcPr>
          <w:p>
            <w:r>
              <w:t xml:space="preserve">让人事调、转、入、离自动协同、催办闭环</w:t>
            </w:r>
          </w:p>
        </w:tc>
        <w:tc>
          <w:tcPr>
            <w:gridSpan w:val="1"/>
          </w:tcPr>
          <w:p>
            <w:r>
              <w:t xml:space="preserve">人事处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中层干部考核智能体</w:t>
            </w:r>
          </w:p>
        </w:tc>
        <w:tc>
          <w:tcPr>
            <w:gridSpan w:val="1"/>
          </w:tcPr>
          <w:p>
            <w:r>
              <w:t xml:space="preserve">用目标、成果和评价数据辅助干部考核</w:t>
            </w:r>
          </w:p>
        </w:tc>
        <w:tc>
          <w:tcPr>
            <w:gridSpan w:val="1"/>
          </w:tcPr>
          <w:p>
            <w:r>
              <w:t xml:space="preserve">组织部 / 院领导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高端人才智能体</w:t>
            </w:r>
          </w:p>
        </w:tc>
        <w:tc>
          <w:tcPr>
            <w:gridSpan w:val="1"/>
          </w:tcPr>
          <w:p>
            <w:r>
              <w:t xml:space="preserve">持续发现、评估并跟进重点学科高端人才</w:t>
            </w:r>
          </w:p>
        </w:tc>
        <w:tc>
          <w:tcPr>
            <w:gridSpan w:val="1"/>
          </w:tcPr>
          <w:p>
            <w:r>
              <w:t xml:space="preserve">人事处 / 学科建设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需求预测智能体</w:t>
            </w:r>
          </w:p>
        </w:tc>
        <w:tc>
          <w:tcPr>
            <w:gridSpan w:val="1"/>
          </w:tcPr>
          <w:p>
            <w:r>
              <w:t xml:space="preserve">分析岗位需求、技能演化、薪资趋势与供给</w:t>
            </w:r>
          </w:p>
        </w:tc>
        <w:tc>
          <w:tcPr>
            <w:gridSpan w:val="1"/>
          </w:tcPr>
          <w:p>
            <w:r>
              <w:t xml:space="preserve">人事处 / 战略</w:t>
            </w:r>
          </w:p>
        </w:tc>
      </w:tr>
    </w:tbl>
    <w:p/>
    <w:p>
      <w:pPr>
        <w:pStyle w:val="Heading3"/>
        <w:keepNext/>
        <w:spacing w:after="120" w:before="240"/>
      </w:pPr>
      <w:r>
        <w:t xml:space="preserve">运营决策线(给院领导 / 运营管理部 / 市场部)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智能体</w:t>
            </w:r>
          </w:p>
        </w:tc>
        <w:tc>
          <w:tcPr>
            <w:gridSpan w:val="1"/>
            <w:shd w:fill="EDF3FC"/>
          </w:tcPr>
          <w:p>
            <w:r>
              <w:t xml:space="preserve">目标(解决什么)</w:t>
            </w:r>
          </w:p>
        </w:tc>
        <w:tc>
          <w:tcPr>
            <w:gridSpan w:val="1"/>
            <w:shd w:fill="EDF3FC"/>
          </w:tcPr>
          <w:p>
            <w:r>
              <w:t xml:space="preserve">目标科室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运营决策智能体</w:t>
            </w:r>
          </w:p>
        </w:tc>
        <w:tc>
          <w:tcPr>
            <w:gridSpan w:val="1"/>
          </w:tcPr>
          <w:p>
            <w:r>
              <w:t xml:space="preserve">结合 AI 解决医院运营决策低效问题</w:t>
            </w:r>
          </w:p>
        </w:tc>
        <w:tc>
          <w:tcPr>
            <w:gridSpan w:val="1"/>
          </w:tcPr>
          <w:p>
            <w:r>
              <w:t xml:space="preserve">院领导 / 运营管理部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患者运营管理智能体</w:t>
            </w:r>
          </w:p>
        </w:tc>
        <w:tc>
          <w:tcPr>
            <w:gridSpan w:val="1"/>
          </w:tcPr>
          <w:p>
            <w:r>
              <w:t xml:space="preserve">观测医院患者人流属性情况,支撑拓新与存量精细化运营</w:t>
            </w:r>
          </w:p>
        </w:tc>
        <w:tc>
          <w:tcPr>
            <w:gridSpan w:val="1"/>
          </w:tcPr>
          <w:p>
            <w:r>
              <w:t xml:space="preserve">运营 / 市场</w:t>
            </w:r>
          </w:p>
        </w:tc>
      </w:tr>
    </w:tbl>
    <w:p/>
    <w:p>
      <w:pPr>
        <w:pStyle w:val="Heading3"/>
        <w:keepNext/>
        <w:spacing w:after="120" w:before="240"/>
      </w:pPr>
      <w:r>
        <w:t xml:space="preserve">临床与医疗质量线(给临床科室 / 医务处 / 质控)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智能体</w:t>
            </w:r>
          </w:p>
        </w:tc>
        <w:tc>
          <w:tcPr>
            <w:gridSpan w:val="1"/>
            <w:shd w:fill="EDF3FC"/>
          </w:tcPr>
          <w:p>
            <w:r>
              <w:t xml:space="preserve">目标(解决什么)</w:t>
            </w:r>
          </w:p>
        </w:tc>
        <w:tc>
          <w:tcPr>
            <w:gridSpan w:val="1"/>
            <w:shd w:fill="EDF3FC"/>
          </w:tcPr>
          <w:p>
            <w:r>
              <w:t xml:space="preserve">目标科室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重症患者关键指标监测智能体</w:t>
            </w:r>
          </w:p>
        </w:tc>
        <w:tc>
          <w:tcPr>
            <w:gridSpan w:val="1"/>
          </w:tcPr>
          <w:p>
            <w:r>
              <w:t xml:space="preserve">通过持续监测与综合分析 ICU 重症患者关键指标</w:t>
            </w:r>
          </w:p>
        </w:tc>
        <w:tc>
          <w:tcPr>
            <w:gridSpan w:val="1"/>
          </w:tcPr>
          <w:p>
            <w:r>
              <w:t xml:space="preserve">重症医学科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医疗质量与安全风险预警智能体</w:t>
            </w:r>
          </w:p>
        </w:tc>
        <w:tc>
          <w:tcPr>
            <w:gridSpan w:val="1"/>
          </w:tcPr>
          <w:p>
            <w:r>
              <w:t xml:space="preserve">通过整合患者、手术及术者信息,在术中术后预警风险</w:t>
            </w:r>
          </w:p>
        </w:tc>
        <w:tc>
          <w:tcPr>
            <w:gridSpan w:val="1"/>
          </w:tcPr>
          <w:p>
            <w:r>
              <w:t xml:space="preserve">医务处 / 质控 / 手术科室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医疗安全 18 项核心制度智能体</w:t>
            </w:r>
          </w:p>
        </w:tc>
        <w:tc>
          <w:tcPr>
            <w:gridSpan w:val="1"/>
          </w:tcPr>
          <w:p>
            <w:r>
              <w:t xml:space="preserve">监测住院患者全周期核心制度落实情况</w:t>
            </w:r>
          </w:p>
        </w:tc>
        <w:tc>
          <w:tcPr>
            <w:gridSpan w:val="1"/>
          </w:tcPr>
          <w:p>
            <w:r>
              <w:t xml:space="preserve">医务处 / 质控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慢病管理智能体</w:t>
            </w:r>
          </w:p>
        </w:tc>
        <w:tc>
          <w:tcPr>
            <w:gridSpan w:val="1"/>
          </w:tcPr>
          <w:p>
            <w:r>
              <w:t xml:space="preserve">持续跟踪慢病患者健康状况,及时识别异常</w:t>
            </w:r>
          </w:p>
        </w:tc>
        <w:tc>
          <w:tcPr>
            <w:gridSpan w:val="1"/>
          </w:tcPr>
          <w:p>
            <w:r>
              <w:t xml:space="preserve">慢病科 / 全科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报告解读智能体</w:t>
            </w:r>
          </w:p>
        </w:tc>
        <w:tc>
          <w:tcPr>
            <w:gridSpan w:val="1"/>
          </w:tcPr>
          <w:p>
            <w:r>
              <w:t xml:space="preserve">提供 7×24 小时 AI 报告解读及在线疑点答疑</w:t>
            </w:r>
          </w:p>
        </w:tc>
        <w:tc>
          <w:tcPr>
            <w:gridSpan w:val="1"/>
          </w:tcPr>
          <w:p>
            <w:r>
              <w:t xml:space="preserve">面向患者 / 各临床科室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健康管理智能体</w:t>
            </w:r>
          </w:p>
        </w:tc>
        <w:tc>
          <w:tcPr>
            <w:gridSpan w:val="1"/>
          </w:tcPr>
          <w:p>
            <w:r>
              <w:t xml:space="preserve">通过各类报告、健康画像、健康评估提供管理服务</w:t>
            </w:r>
          </w:p>
        </w:tc>
        <w:tc>
          <w:tcPr>
            <w:gridSpan w:val="1"/>
          </w:tcPr>
          <w:p>
            <w:r>
              <w:t xml:space="preserve">体检中心 / 健康管理</w:t>
            </w:r>
          </w:p>
        </w:tc>
      </w:tr>
    </w:tbl>
    <w:p/>
    <w:p>
      <w:pPr>
        <w:pStyle w:val="Heading3"/>
        <w:keepNext/>
        <w:spacing w:after="120" w:before="240"/>
      </w:pPr>
      <w:r>
        <w:t xml:space="preserve">数据底座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智能体</w:t>
            </w:r>
          </w:p>
        </w:tc>
        <w:tc>
          <w:tcPr>
            <w:gridSpan w:val="1"/>
            <w:shd w:fill="EDF3FC"/>
          </w:tcPr>
          <w:p>
            <w:r>
              <w:t xml:space="preserve">目标(解决什么)</w:t>
            </w:r>
          </w:p>
        </w:tc>
        <w:tc>
          <w:tcPr>
            <w:gridSpan w:val="1"/>
            <w:shd w:fill="EDF3FC"/>
          </w:tcPr>
          <w:p>
            <w:r>
              <w:t xml:space="preserve">说明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SDR 智能体数据基座</w:t>
            </w:r>
          </w:p>
        </w:tc>
        <w:tc>
          <w:tcPr>
            <w:gridSpan w:val="1"/>
          </w:tcPr>
          <w:p>
            <w:r>
              <w:t xml:space="preserve">智能体数据底座,标准可复制数据集</w:t>
            </w:r>
          </w:p>
        </w:tc>
        <w:tc>
          <w:tcPr>
            <w:gridSpan w:val="1"/>
          </w:tcPr>
          <w:p>
            <w:r>
              <w:t xml:space="preserve">横向底座,支撑上面所有智能体取数(详见技术支线)</w:t>
            </w:r>
          </w:p>
        </w:tc>
      </w:tr>
    </w:tbl>
    <w:p/>
    <w:p>
      <w:pPr>
        <w:spacing w:after="100" w:line="300"/>
      </w:pPr>
      <w:r>
        <w:t xml:space="preserve">说明:表中"目标科室"是典型对应关系,实际项目按客户组织架构调整。SDR 数据基座虽列在这里,本质是</w:t>
      </w:r>
      <w:r>
        <w:rPr>
          <w:b/>
          <w:bCs/>
        </w:rPr>
        <w:t xml:space="preserve">技术底座</w:t>
      </w:r>
      <w:r>
        <w:t xml:space="preserve">(造智能体用),现场介绍产品时不单独当卖点,归到技术支线讲。</w:t>
      </w:r>
    </w:p>
    <w:p/>
    <w:p>
      <w:pPr>
        <w:pStyle w:val="Heading2"/>
        <w:keepNext/>
        <w:spacing w:after="120" w:before="240"/>
      </w:pPr>
      <w:r>
        <w:t xml:space="preserve">三、怎么用这张矩阵(现场话术)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按科室对号</w:t>
      </w:r>
      <w:r>
        <w:t xml:space="preserve">:客户是哪个科室、痛点是什么,先在表里找到对应智能体,用"你这个问题,我们有 XX 智能体"接住。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一句话价值</w:t>
      </w:r>
      <w:r>
        <w:t xml:space="preserve">:每个智能体记住"目标"那一列的一句话,别一上来堆功能。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分清产品和底座</w:t>
      </w:r>
      <w:r>
        <w:t xml:space="preserve">:客户要"看能干啥"→ 报智能体;要"看安不安全/私有化"→ 讲底座(平台 + SDR + 一体化架构),两者别混着说。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成熟度心里有数</w:t>
      </w:r>
      <w:r>
        <w:t xml:space="preserve">:各智能体成熟度不一(有的已有 PRD/原型,有的还在设计),现场别把在建的当成品承诺,拿不准就说"这块正在做"。</w:t>
      </w:r>
    </w:p>
    <w:p/>
    <w:p>
      <w:pPr>
        <w:spacing w:after="100" w:line="300"/>
      </w:pPr>
      <w:r>
        <w:rPr>
          <w:i/>
          <w:iCs/>
        </w:rPr>
        <w:t xml:space="preserve">资料来源:医疗智能体产品矩阵(内部台账)+ 各智能体 work-notes(围术期流程、HR 人力决策产品清单、患者运营 PRD、术后监测等)。目标描述以内部矩阵表为准,细节以各智能体项目文档为准。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43247"/>
        <w:sz w:val="22"/>
        <w:szCs w:val="22"/>
      </w:rPr>
    </w:rPrDefault>
    <w:pPrDefault>
      <w:pPr>
        <w:spacing w:after="10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c18637a1f0a976b226f83525a28b190d26281a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2026-10-08T07:37:40.417Z</dcterms:created>
  <dcterms:modified xsi:type="dcterms:W3CDTF">2026-10-08T07:37:40.417Z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