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医疗智能体一体化贯通架构——学员材料</w:t>
      </w:r>
    </w:p>
    <w:p>
      <w:pPr>
        <w:spacing w:after="100" w:line="300"/>
      </w:pPr>
      <w:r>
        <w:t xml:space="preserve">这份材料讲清楚一件事：</w:t>
      </w:r>
      <w:r>
        <w:rPr>
          <w:b/>
          <w:bCs/>
        </w:rPr>
        <w:t xml:space="preserve">在医院里,我们对外只交付一个产品——「纳米Work 行业工作台」;底层的智能体引擎、工作流、长期记忆、离线大模型,由 SEAF 智能体平台供能,不单独露面。</w:t>
      </w:r>
      <w:r>
        <w:t xml:space="preserve"> 数据不出院、模型与智能体不出域,是这套架构存在的第一前提。</w:t>
      </w:r>
    </w:p>
    <w:p>
      <w:pPr>
        <w:spacing w:after="100" w:line="300"/>
      </w:pPr>
      <w:r>
        <w:t xml:space="preserve">用法:阶段一进场调研时,这是你跟医院信息科、临床科室讲「数据怎么保证不出院」「模型放哪」「智能体怎么分科室用」的底稿;客户一问合规和部署,你脑子里要立刻浮现这张五层架构图。</w:t>
      </w:r>
    </w:p>
    <w:p>
      <w:pPr>
        <w:spacing w:after="100" w:line="300"/>
      </w:pPr>
      <w:r>
        <w:t xml:space="preserve">配套阅读:SDR数据基座、大数据能力与医疗数据中台、纳米Work企业智能体平台。</w:t>
      </w:r>
    </w:p>
    <w:p/>
    <w:p>
      <w:pPr>
        <w:pStyle w:val="Heading2"/>
        <w:keepNext/>
        <w:spacing w:after="120" w:before="240"/>
      </w:pPr>
      <w:r>
        <w:t xml:space="preserve">一、一句话定位</w:t>
      </w:r>
    </w:p>
    <w:p>
      <w:pPr>
        <w:spacing w:after="100" w:line="300"/>
      </w:pPr>
      <w:r>
        <w:rPr>
          <w:b/>
          <w:bCs/>
        </w:rPr>
        <w:t xml:space="preserve">对外只有一个产品——纳米Work 行业工作台。SEAF 只在底层供能力,不单独露面。</w:t>
      </w:r>
    </w:p>
    <w:p>
      <w:pPr>
        <w:spacing w:after="100" w:line="300"/>
      </w:pPr>
      <w:r>
        <w:t xml:space="preserve">工作台里的智能体、Skill、知识库、MCP、工作流,都是纳米Work 行业工作台的入口/组件;这些组件的底层能力(智能体引擎、工作流、自我迭代、长期记忆、离线大模型)由 SEAF 提供。相当于把 SEAF 的能力封装成工作台的组件,客户从头到尾只面对一个纳米Work 行业工作台。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谁做</w:t>
            </w:r>
          </w:p>
        </w:tc>
        <w:tc>
          <w:tcPr>
            <w:gridSpan w:val="1"/>
            <w:shd w:fill="EDF3FC"/>
          </w:tcPr>
          <w:p>
            <w:r>
              <w:t xml:space="preserve">做什么</w:t>
            </w:r>
          </w:p>
        </w:tc>
        <w:tc>
          <w:tcPr>
            <w:gridSpan w:val="1"/>
            <w:shd w:fill="EDF3FC"/>
          </w:tcPr>
          <w:p>
            <w:r>
              <w:t xml:space="preserve">对客户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SEAF 智能体平台</w:t>
            </w:r>
          </w:p>
          <w:p>
            <w:r>
              <w:t xml:space="preserve">(技术中台)</w:t>
            </w:r>
          </w:p>
        </w:tc>
        <w:tc>
          <w:tcPr>
            <w:gridSpan w:val="1"/>
          </w:tcPr>
          <w:p>
            <w:r>
              <w:t xml:space="preserve">底层能力:智能体引擎、工作流、自我迭代、长期记忆、离线大模型</w:t>
            </w:r>
          </w:p>
        </w:tc>
        <w:tc>
          <w:tcPr>
            <w:gridSpan w:val="1"/>
          </w:tcPr>
          <w:p>
            <w:r>
              <w:t xml:space="preserve">不露面,藏在工作台组件背后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纳米Work 行业工作台</w:t>
            </w:r>
          </w:p>
          <w:p>
            <w:r>
              <w:t xml:space="preserve">(我方)</w:t>
            </w:r>
          </w:p>
        </w:tc>
        <w:tc>
          <w:tcPr>
            <w:gridSpan w:val="1"/>
          </w:tcPr>
          <w:p>
            <w:r>
              <w:t xml:space="preserve">智能体 / Skill / 知识库 / MCP / 工作流的入口和组件、对接客户业务的界面与功能</w:t>
            </w:r>
          </w:p>
        </w:tc>
        <w:tc>
          <w:tcPr>
            <w:gridSpan w:val="1"/>
          </w:tcPr>
          <w:p>
            <w:r>
              <w:t xml:space="preserve">唯一入口,客户只用这一个</w:t>
            </w:r>
          </w:p>
        </w:tc>
      </w:tr>
    </w:tbl>
    <w:p/>
    <w:p/>
    <w:p>
      <w:pPr>
        <w:pStyle w:val="Heading2"/>
        <w:keepNext/>
        <w:spacing w:after="120" w:before="240"/>
      </w:pPr>
      <w:r>
        <w:t xml:space="preserve">二、整体架构图</w:t>
      </w:r>
    </w:p>
    <w:p>
      <w:pPr>
        <w:spacing w:after="100" w:line="300"/>
      </w:pPr>
      <w:r>
        <w:drawing>
          <wp:inline distT="0" distB="0" distL="0" distR="0">
            <wp:extent cx="5143500" cy="2939143"/>
            <wp:effectExtent t="0" r="0" b="0" l="0"/>
            <wp:docPr id="1" name="文档图片" descr="医疗·纳米Work行业工作台 + SEAF智能体引擎 一体化贯通架构" title="医疗·纳米Work行业工作台 + SEAF智能体引擎 一体化贯通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t xml:space="preserve">图注:自上而下五层贯通 —— </w:t>
      </w:r>
      <w:r>
        <w:rPr>
          <w:b/>
          <w:bCs/>
        </w:rPr>
        <w:t xml:space="preserve">① 用户层 → ② 纳米Work 行业工作台 → ③ SEAF 智能体平台 → ④ SDR 安全数据基座 → ⑤ 数据源层</w:t>
      </w:r>
      <w:r>
        <w:t xml:space="preserve">;右侧三根安全支柱贯穿全程 —— </w:t>
      </w:r>
      <w:r>
        <w:rPr>
          <w:b/>
          <w:bCs/>
        </w:rPr>
        <w:t xml:space="preserve">数据安全 / 大模型安全 / 智能体安全</w:t>
      </w:r>
      <w:r>
        <w:t xml:space="preserve">。</w:t>
      </w:r>
    </w:p>
    <w:p/>
    <w:p>
      <w:pPr>
        <w:pStyle w:val="Heading2"/>
        <w:keepNext/>
        <w:spacing w:after="120" w:before="240"/>
      </w:pPr>
      <w:r>
        <w:t xml:space="preserve">三、五层逐层拆解</w:t>
      </w:r>
    </w:p>
    <w:p>
      <w:pPr>
        <w:pStyle w:val="Heading3"/>
        <w:keepNext/>
        <w:spacing w:after="120" w:before="240"/>
      </w:pPr>
      <w:r>
        <w:t xml:space="preserve">第 ① 层 · 用户层(临床一线怎么用)</w:t>
      </w:r>
    </w:p>
    <w:p>
      <w:pPr>
        <w:spacing w:after="100" w:line="300"/>
      </w:pPr>
      <w:r>
        <w:t xml:space="preserve">工作台按医院组织架构分科室开放:</w:t>
      </w:r>
      <w:r>
        <w:rPr>
          <w:b/>
          <w:bCs/>
        </w:rPr>
        <w:t xml:space="preserve">临床科室、护理部、医技科室、财务科室、医保科室、行政后勤、其他科室</w:t>
      </w:r>
      <w:r>
        <w:t xml:space="preserve">。每个科室看到的是</w:t>
      </w:r>
      <w:r>
        <w:rPr>
          <w:b/>
          <w:bCs/>
        </w:rPr>
        <w:t xml:space="preserve">跟自己业务对得上的智能体和界面</w:t>
      </w:r>
      <w:r>
        <w:t xml:space="preserve">,不是一套通用工具硬套。</w:t>
      </w:r>
    </w:p>
    <w:p>
      <w:pPr>
        <w:spacing w:after="100" w:line="300"/>
      </w:pPr>
      <w:r>
        <w:t xml:space="preserve">落地要点:进场调研时先把科室清单和各科室的高频场景摸清楚,这决定了工作台第一批上哪些智能体。</w:t>
      </w:r>
    </w:p>
    <w:p>
      <w:pPr>
        <w:pStyle w:val="Heading3"/>
        <w:keepNext/>
        <w:spacing w:after="120" w:before="240"/>
      </w:pPr>
      <w:r>
        <w:t xml:space="preserve">第 ② 层 · 纳米Work 行业工作台(客户唯一入口)</w:t>
      </w:r>
    </w:p>
    <w:p>
      <w:pPr>
        <w:spacing w:after="100" w:line="300"/>
      </w:pPr>
      <w:r>
        <w:t xml:space="preserve">对客户呈现的五个组件入口,全部收敛在这一层: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智能体入口</w:t>
      </w:r>
      <w:r>
        <w:t xml:space="preserve"> —— 各科室的业务智能体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Skill</w:t>
      </w:r>
      <w:r>
        <w:t xml:space="preserve"> —— 可复用技能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知识库</w:t>
      </w:r>
      <w:r>
        <w:t xml:space="preserve"> —— 科室知识沉淀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MCP</w:t>
      </w:r>
      <w:r>
        <w:t xml:space="preserve"> —— 工具/连接器接入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工作流入口</w:t>
      </w:r>
      <w:r>
        <w:t xml:space="preserve"> —— 多步业务编排</w:t>
      </w:r>
    </w:p>
    <w:p>
      <w:pPr>
        <w:spacing w:after="100" w:line="300"/>
      </w:pPr>
      <w:r>
        <w:t xml:space="preserve">下面一条「</w:t>
      </w:r>
      <w:r>
        <w:rPr>
          <w:b/>
          <w:bCs/>
        </w:rPr>
        <w:t xml:space="preserve">对接客户业务的行业界面与功能</w:t>
      </w:r>
      <w:r>
        <w:t xml:space="preserve">」——这是把上面五个组件跟医院真实业务缝合起来的行业化外壳。</w:t>
      </w:r>
    </w:p>
    <w:p>
      <w:pPr>
        <w:spacing w:after="100" w:line="300"/>
      </w:pPr>
      <w:r>
        <w:t xml:space="preserve">关键约束:</w:t>
      </w:r>
      <w:r>
        <w:rPr>
          <w:b/>
          <w:bCs/>
        </w:rPr>
        <w:t xml:space="preserve">业务数据阅后即焚</w:t>
      </w:r>
      <w:r>
        <w:t xml:space="preserve">——工作台处理业务数据时用完即焚,不留底。</w:t>
      </w:r>
    </w:p>
    <w:p>
      <w:pPr>
        <w:pStyle w:val="Heading3"/>
        <w:keepNext/>
        <w:spacing w:after="120" w:before="240"/>
      </w:pPr>
      <w:r>
        <w:t xml:space="preserve">第 ③ 层 · SEAF 智能体平台(藏在背后的引擎)</w:t>
      </w:r>
    </w:p>
    <w:p>
      <w:pPr>
        <w:spacing w:after="100" w:line="300"/>
      </w:pPr>
      <w:r>
        <w:t xml:space="preserve">工作台组件的底层能力全在这层,客户看不到、但离不开: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智能体引擎</w:t>
      </w:r>
      <w:r>
        <w:t xml:space="preserve"> —— 驱动所有智能体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工作流引擎</w:t>
      </w:r>
      <w:r>
        <w:t xml:space="preserve"> —— 驱动工作流编排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自我迭代</w:t>
      </w:r>
      <w:r>
        <w:t xml:space="preserve"> —— 「越用越聪明」的能力底座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长期记忆</w:t>
      </w:r>
      <w:r>
        <w:t xml:space="preserve"> —— 跨会话记住上下文与行为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离线大模型</w:t>
      </w:r>
      <w:r>
        <w:t xml:space="preserve"> —— </w:t>
      </w:r>
      <w:r>
        <w:rPr>
          <w:b/>
          <w:bCs/>
        </w:rPr>
        <w:t xml:space="preserve">360 自建私有化、不存储不联网不训练</w:t>
      </w:r>
    </w:p>
    <w:p>
      <w:pPr>
        <w:spacing w:after="100" w:line="300"/>
      </w:pPr>
      <w:r>
        <w:t xml:space="preserve">这层是「SEAF 只供能力、不露面」的实现层。对客户话术永远是「纳米Work 工作台的能力」,不提 SEAF。</w:t>
      </w:r>
    </w:p>
    <w:p>
      <w:pPr>
        <w:pStyle w:val="Heading3"/>
        <w:keepNext/>
        <w:spacing w:after="120" w:before="240"/>
      </w:pPr>
      <w:r>
        <w:t xml:space="preserve">第 ④ 层 · SDR 安全数据基座(数据不出院的关口)</w:t>
      </w:r>
    </w:p>
    <w:p>
      <w:pPr>
        <w:spacing w:after="100" w:line="300"/>
      </w:pPr>
      <w:r>
        <w:t xml:space="preserve">医院私有云内,数据进出的唯一受控通道,三段: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服务网关层</w:t>
      </w:r>
      <w:r>
        <w:t xml:space="preserve"> —— </w:t>
      </w:r>
      <w:r>
        <w:rPr>
          <w:rFonts w:ascii="Consolas" w:cs="Consolas" w:eastAsia="Consolas" w:hAnsi="Consolas"/>
        </w:rPr>
        <w:t xml:space="preserve">MCP</w:t>
      </w:r>
      <w:r>
        <w:t xml:space="preserve"> / </w:t>
      </w:r>
      <w:r>
        <w:rPr>
          <w:rFonts w:ascii="Consolas" w:cs="Consolas" w:eastAsia="Consolas" w:hAnsi="Consolas"/>
        </w:rPr>
        <w:t xml:space="preserve">HTTP</w:t>
      </w:r>
      <w:r>
        <w:t xml:space="preserve"> / </w:t>
      </w:r>
      <w:r>
        <w:rPr>
          <w:rFonts w:ascii="Consolas" w:cs="Consolas" w:eastAsia="Consolas" w:hAnsi="Consolas"/>
        </w:rPr>
        <w:t xml:space="preserve">WebSocket</w:t>
      </w:r>
      <w:r>
        <w:t xml:space="preserve"> / </w:t>
      </w:r>
      <w:r>
        <w:rPr>
          <w:rFonts w:ascii="Consolas" w:cs="Consolas" w:eastAsia="Consolas" w:hAnsi="Consolas"/>
        </w:rPr>
        <w:t xml:space="preserve">TLS 加密</w:t>
      </w:r>
      <w:r>
        <w:t xml:space="preserve">,统一进出口与加密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服务平台层</w:t>
      </w:r>
      <w:r>
        <w:t xml:space="preserve"> —— </w:t>
      </w:r>
      <w:r>
        <w:rPr>
          <w:b/>
          <w:bCs/>
        </w:rPr>
        <w:t xml:space="preserve">数据脱敏(L1–L4 分级)</w:t>
      </w:r>
      <w:r>
        <w:t xml:space="preserve"> / </w:t>
      </w:r>
      <w:r>
        <w:rPr>
          <w:b/>
          <w:bCs/>
        </w:rPr>
        <w:t xml:space="preserve">安全审计</w:t>
      </w:r>
      <w:r>
        <w:t xml:space="preserve"> / </w:t>
      </w:r>
      <w:r>
        <w:rPr>
          <w:b/>
          <w:bCs/>
        </w:rPr>
        <w:t xml:space="preserve">配置下发(sdr-one)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数据治理层</w:t>
      </w:r>
      <w:r>
        <w:t xml:space="preserve"> —— </w:t>
      </w:r>
      <w:r>
        <w:rPr>
          <w:rFonts w:ascii="Consolas" w:cs="Consolas" w:eastAsia="Consolas" w:hAnsi="Consolas"/>
        </w:rPr>
        <w:t xml:space="preserve">SeaTunnel</w:t>
      </w:r>
      <w:r>
        <w:t xml:space="preserve">(数据同步治理) + </w:t>
      </w:r>
      <w:r>
        <w:rPr>
          <w:rFonts w:ascii="Consolas" w:cs="Consolas" w:eastAsia="Consolas" w:hAnsi="Consolas"/>
        </w:rPr>
        <w:t xml:space="preserve">Apache Doris</w:t>
      </w:r>
      <w:r>
        <w:t xml:space="preserve">(分析型存储)</w:t>
      </w:r>
    </w:p>
    <w:p>
      <w:pPr>
        <w:pStyle w:val="Heading3"/>
        <w:keepNext/>
        <w:spacing w:after="120" w:before="240"/>
      </w:pPr>
      <w:r>
        <w:t xml:space="preserve">第 ⑤ 层 · 数据源层(院内原始系统)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医院业务系统数据库 Oracle,只读 View 边界</w:t>
      </w:r>
      <w:r>
        <w:t xml:space="preserve"> —— </w:t>
      </w:r>
      <w:r>
        <w:rPr>
          <w:rFonts w:ascii="Consolas" w:cs="Consolas" w:eastAsia="Consolas" w:hAnsi="Consolas"/>
        </w:rPr>
        <w:t xml:space="preserve">HIS</w:t>
      </w:r>
      <w:r>
        <w:t xml:space="preserve"> / </w:t>
      </w:r>
      <w:r>
        <w:rPr>
          <w:rFonts w:ascii="Consolas" w:cs="Consolas" w:eastAsia="Consolas" w:hAnsi="Consolas"/>
        </w:rPr>
        <w:t xml:space="preserve">LIS</w:t>
      </w:r>
      <w:r>
        <w:t xml:space="preserve"> / </w:t>
      </w:r>
      <w:r>
        <w:rPr>
          <w:rFonts w:ascii="Consolas" w:cs="Consolas" w:eastAsia="Consolas" w:hAnsi="Consolas"/>
        </w:rPr>
        <w:t xml:space="preserve">PACS</w:t>
      </w:r>
      <w:r>
        <w:t xml:space="preserve"> / </w:t>
      </w:r>
      <w:r>
        <w:rPr>
          <w:rFonts w:ascii="Consolas" w:cs="Consolas" w:eastAsia="Consolas" w:hAnsi="Consolas"/>
        </w:rPr>
        <w:t xml:space="preserve">EMR</w:t>
      </w:r>
      <w:r>
        <w:t xml:space="preserve">,一律</w:t>
      </w:r>
      <w:r>
        <w:rPr>
          <w:b/>
          <w:bCs/>
        </w:rPr>
        <w:t xml:space="preserve">只读 View</w:t>
      </w:r>
      <w:r>
        <w:t xml:space="preserve">,不碰生产库写入。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自建 HR 人事库 MySQL</w:t>
      </w:r>
      <w:r>
        <w:t xml:space="preserve"> —— 院内自建,</w:t>
      </w:r>
      <w:r>
        <w:rPr>
          <w:b/>
          <w:bCs/>
        </w:rPr>
        <w:t xml:space="preserve">不走 SeaTunnel 治理</w:t>
      </w:r>
      <w:r>
        <w:t xml:space="preserve">(单独通道,注意差异)。</w:t>
      </w:r>
    </w:p>
    <w:p/>
    <w:p>
      <w:pPr>
        <w:pStyle w:val="Heading2"/>
        <w:keepNext/>
        <w:spacing w:after="120" w:before="240"/>
      </w:pPr>
      <w:r>
        <w:t xml:space="preserve">四、三根安全支柱(贯穿全层)</w:t>
      </w:r>
    </w:p>
    <w:p>
      <w:pPr>
        <w:spacing w:after="100" w:line="300"/>
      </w:pPr>
      <w:r>
        <w:t xml:space="preserve">这是跟医院讲合规时的三张王牌,对应架构图右侧三栏:</w:t>
      </w:r>
    </w:p>
    <w:p>
      <w:pPr>
        <w:pStyle w:val="Heading3"/>
        <w:keepNext/>
        <w:spacing w:after="120" w:before="240"/>
      </w:pPr>
      <w:r>
        <w:t xml:space="preserve">数据安全</w:t>
      </w:r>
    </w:p>
    <w:p>
      <w:pPr>
        <w:pStyle w:val="ListParagraph"/>
        <w:numPr>
          <w:ilvl w:val="0"/>
          <w:numId w:val="1"/>
        </w:numPr>
      </w:pPr>
      <w:r>
        <w:t xml:space="preserve">数据不出院</w:t>
      </w:r>
    </w:p>
    <w:p>
      <w:pPr>
        <w:pStyle w:val="ListParagraph"/>
        <w:numPr>
          <w:ilvl w:val="0"/>
          <w:numId w:val="1"/>
        </w:numPr>
      </w:pPr>
      <w:r>
        <w:t xml:space="preserve">数据不出 360 安全域</w:t>
      </w:r>
    </w:p>
    <w:p>
      <w:pPr>
        <w:pStyle w:val="ListParagraph"/>
        <w:numPr>
          <w:ilvl w:val="0"/>
          <w:numId w:val="1"/>
        </w:numPr>
      </w:pPr>
      <w:r>
        <w:t xml:space="preserve">只读 View 边界</w:t>
      </w:r>
    </w:p>
    <w:p>
      <w:pPr>
        <w:pStyle w:val="ListParagraph"/>
        <w:numPr>
          <w:ilvl w:val="0"/>
          <w:numId w:val="1"/>
        </w:numPr>
      </w:pPr>
      <w:r>
        <w:t xml:space="preserve">L1–L4 分级脱敏</w:t>
      </w:r>
    </w:p>
    <w:p>
      <w:pPr>
        <w:pStyle w:val="Heading3"/>
        <w:keepNext/>
        <w:spacing w:after="120" w:before="240"/>
      </w:pPr>
      <w:r>
        <w:t xml:space="preserve">大模型安全</w:t>
      </w:r>
    </w:p>
    <w:p>
      <w:pPr>
        <w:pStyle w:val="ListParagraph"/>
        <w:numPr>
          <w:ilvl w:val="0"/>
          <w:numId w:val="1"/>
        </w:numPr>
      </w:pPr>
      <w:r>
        <w:t xml:space="preserve">离线私有化模型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不存储、不联网、不训练</w:t>
      </w:r>
    </w:p>
    <w:p>
      <w:pPr>
        <w:pStyle w:val="ListParagraph"/>
        <w:numPr>
          <w:ilvl w:val="0"/>
          <w:numId w:val="1"/>
        </w:numPr>
      </w:pPr>
      <w:r>
        <w:t xml:space="preserve">模型权重不出域</w:t>
      </w:r>
    </w:p>
    <w:p>
      <w:pPr>
        <w:pStyle w:val="Heading3"/>
        <w:keepNext/>
        <w:spacing w:after="120" w:before="240"/>
      </w:pPr>
      <w:r>
        <w:t xml:space="preserve">智能体安全</w:t>
      </w:r>
    </w:p>
    <w:p>
      <w:pPr>
        <w:pStyle w:val="ListParagraph"/>
        <w:numPr>
          <w:ilvl w:val="0"/>
          <w:numId w:val="1"/>
        </w:numPr>
      </w:pPr>
      <w:r>
        <w:t xml:space="preserve">业务数据阅后即焚</w:t>
      </w:r>
    </w:p>
    <w:p>
      <w:pPr>
        <w:pStyle w:val="ListParagraph"/>
        <w:numPr>
          <w:ilvl w:val="0"/>
          <w:numId w:val="1"/>
        </w:numPr>
      </w:pPr>
      <w:r>
        <w:t xml:space="preserve">日志与上下文 180 天审计(可配置,如 7 天销毁)</w:t>
      </w:r>
    </w:p>
    <w:p>
      <w:pPr>
        <w:pStyle w:val="ListParagraph"/>
        <w:numPr>
          <w:ilvl w:val="0"/>
          <w:numId w:val="1"/>
        </w:numPr>
      </w:pPr>
      <w:r>
        <w:t xml:space="preserve">工具调用全审计</w:t>
      </w:r>
    </w:p>
    <w:p>
      <w:pPr>
        <w:pStyle w:val="ListParagraph"/>
        <w:numPr>
          <w:ilvl w:val="0"/>
          <w:numId w:val="1"/>
        </w:numPr>
      </w:pPr>
      <w:r>
        <w:t xml:space="preserve">分科室权限管控</w:t>
      </w:r>
    </w:p>
    <w:p/>
    <w:p>
      <w:pPr>
        <w:pStyle w:val="Heading2"/>
        <w:keepNext/>
        <w:spacing w:after="120" w:before="240"/>
      </w:pPr>
      <w:r>
        <w:t xml:space="preserve">五、为什么是这套架构(FDE 现场话术)</w:t>
      </w:r>
    </w:p>
    <w:p>
      <w:pPr>
        <w:spacing w:after="100" w:line="300"/>
      </w:pPr>
      <w:r>
        <w:t xml:space="preserve">医院最硬的合规约束是**「数据不出院」**。整套私有化(GPU + 运维搬一份到院内)太重、成本高,所以路线定为:</w:t>
      </w:r>
      <w:r>
        <w:rPr>
          <w:b/>
          <w:bCs/>
        </w:rPr>
        <w:t xml:space="preserve">在 360 私有云内部署专属医疗智能体实例</w:t>
      </w:r>
      <w:r>
        <w:t xml:space="preserve">——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省硬件投入</w:t>
      </w:r>
      <w:r>
        <w:t xml:space="preserve">:不用给每家医院整套复制 GPU 集群;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数据不出 360 安全域</w:t>
      </w:r>
      <w:r>
        <w:t xml:space="preserve">:模型和智能体日志都留在安全域内不出域;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模型私有化兜底</w:t>
      </w:r>
      <w:r>
        <w:t xml:space="preserve">:部署离线模型,向客户承诺不存储、不联网、不训练;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全链路可审计</w:t>
      </w:r>
      <w:r>
        <w:t xml:space="preserve">:网关记录流转 + 180 天审计 + 分科室权限管控,合规交差。</w:t>
      </w:r>
    </w:p>
    <w:p>
      <w:pPr>
        <w:spacing w:after="100" w:line="300"/>
      </w:pPr>
      <w:r>
        <w:t xml:space="preserve">这四条是阶段一跟信息科对齐的核心,记牢。</w:t>
      </w:r>
    </w:p>
    <w:p/>
    <w:p>
      <w:pPr>
        <w:pStyle w:val="Heading2"/>
        <w:keepNext/>
        <w:spacing w:after="120" w:before="240"/>
      </w:pPr>
      <w:r>
        <w:t xml:space="preserve">六、待底座(SEAF)补齐的能力(现场别过度承诺)</w:t>
      </w:r>
    </w:p>
    <w:p>
      <w:pPr>
        <w:spacing w:after="100" w:line="300"/>
      </w:pPr>
      <w:r>
        <w:t xml:space="preserve">以下能力 SEAF 已认领在跟进/待提,</w:t>
      </w:r>
      <w:r>
        <w:rPr>
          <w:b/>
          <w:bCs/>
        </w:rPr>
        <w:t xml:space="preserve">尚未全部就绪</w:t>
      </w:r>
      <w:r>
        <w:t xml:space="preserve">,现场介绍时按「规划中」讲,别当成品承诺: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能力</w:t>
            </w:r>
          </w:p>
        </w:tc>
        <w:tc>
          <w:tcPr>
            <w:gridSpan w:val="1"/>
            <w:shd w:fill="EDF3FC"/>
          </w:tcPr>
          <w:p>
            <w:r>
              <w:t xml:space="preserve">状态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r>
              <w:t xml:space="preserve">长期记忆 / 自我迭代</w:t>
            </w:r>
          </w:p>
        </w:tc>
        <w:tc>
          <w:tcPr>
            <w:gridSpan w:val="1"/>
          </w:tcPr>
          <w:p>
            <w:r>
              <w:t xml:space="preserve">跟进中</w:t>
            </w:r>
          </w:p>
        </w:tc>
        <w:tc>
          <w:tcPr>
            <w:gridSpan w:val="1"/>
          </w:tcPr>
          <w:p>
            <w:r>
              <w:t xml:space="preserve">「越用越聪明」讲圆全靠这个</w:t>
            </w:r>
          </w:p>
        </w:tc>
      </w:tr>
      <w:tr>
        <w:tc>
          <w:tcPr>
            <w:gridSpan w:val="1"/>
          </w:tcPr>
          <w:p>
            <w:r>
              <w:t xml:space="preserve">分科室 / 分角色权限</w:t>
            </w:r>
          </w:p>
        </w:tc>
        <w:tc>
          <w:tcPr>
            <w:gridSpan w:val="1"/>
          </w:tcPr>
          <w:p>
            <w:r>
              <w:t xml:space="preserve">跟进中</w:t>
            </w:r>
          </w:p>
        </w:tc>
        <w:tc>
          <w:tcPr>
            <w:gridSpan w:val="1"/>
          </w:tcPr>
          <w:p>
            <w:r>
              <w:t xml:space="preserve">目前颗粒度不够</w:t>
            </w:r>
          </w:p>
        </w:tc>
      </w:tr>
      <w:tr>
        <w:tc>
          <w:tcPr>
            <w:gridSpan w:val="1"/>
          </w:tcPr>
          <w:p>
            <w:r>
              <w:t xml:space="preserve">审计埋点数据由底座产出</w:t>
            </w:r>
          </w:p>
        </w:tc>
        <w:tc>
          <w:tcPr>
            <w:gridSpan w:val="1"/>
          </w:tcPr>
          <w:p>
            <w:r>
              <w:t xml:space="preserve">部分已决策</w:t>
            </w:r>
          </w:p>
        </w:tc>
        <w:tc>
          <w:tcPr>
            <w:gridSpan w:val="1"/>
          </w:tcPr>
          <w:p>
            <w:r>
              <w:t xml:space="preserve">全链路可追溯的合规硬要求</w:t>
            </w:r>
          </w:p>
        </w:tc>
      </w:tr>
      <w:tr>
        <w:tc>
          <w:tcPr>
            <w:gridSpan w:val="1"/>
          </w:tcPr>
          <w:p>
            <w:r>
              <w:t xml:space="preserve">L2 工作流调用 Skill / L3 智能体</w:t>
            </w:r>
          </w:p>
        </w:tc>
        <w:tc>
          <w:tcPr>
            <w:gridSpan w:val="1"/>
          </w:tcPr>
          <w:p>
            <w:r>
              <w:t xml:space="preserve">待提</w:t>
            </w:r>
          </w:p>
        </w:tc>
        <w:tc>
          <w:tcPr>
            <w:gridSpan w:val="1"/>
          </w:tcPr>
          <w:p>
            <w:r>
              <w:t xml:space="preserve">工作流编排能力尚不全</w:t>
            </w:r>
          </w:p>
        </w:tc>
      </w:tr>
      <w:tr>
        <w:tc>
          <w:tcPr>
            <w:gridSpan w:val="1"/>
          </w:tcPr>
          <w:p>
            <w:r>
              <w:t xml:space="preserve">智能体一键转 Skill</w:t>
            </w:r>
          </w:p>
        </w:tc>
        <w:tc>
          <w:tcPr>
            <w:gridSpan w:val="1"/>
          </w:tcPr>
          <w:p>
            <w:r>
              <w:t xml:space="preserve">待提</w:t>
            </w:r>
          </w:p>
        </w:tc>
        <w:tc>
          <w:tcPr>
            <w:gridSpan w:val="1"/>
          </w:tcPr>
          <w:p>
            <w:r>
              <w:t xml:space="preserve">复用便捷性</w:t>
            </w:r>
          </w:p>
        </w:tc>
      </w:tr>
    </w:tbl>
    <w:p/>
    <w:p>
      <w:pPr>
        <w:spacing w:after="100" w:line="300"/>
      </w:pPr>
      <w:r>
        <w:t xml:space="preserve">状态口径:已决策=方向定了 / 跟进中=平台已认领在做 / 待提=还没提给平台。</w:t>
      </w:r>
    </w:p>
    <w:p/>
    <w:p>
      <w:pPr>
        <w:spacing w:after="100" w:line="300"/>
      </w:pPr>
      <w:r>
        <w:rPr>
          <w:i/>
          <w:iCs/>
        </w:rPr>
        <w:t xml:space="preserve">资料来源:FDE 项目管理 · SEAF 底座跟进(上海四院医疗智能体项目)。架构图版本:一体化贯通架构 </w:t>
      </w:r>
      <w:r>
        <w:rPr>
          <w:i/>
          <w:iCs/>
        </w:rPr>
        <w:t xml:space="preserve">医疗</w:t>
      </w:r>
      <w:r>
        <w:rPr>
          <w:i/>
          <w:iCs/>
        </w:rPr>
        <w:t xml:space="preserve"> 商务 v6。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2f776cbfdf8608cdb275b41bb57b868f348b9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2026-10-08T07:37:40.841Z</dcterms:created>
  <dcterms:modified xsi:type="dcterms:W3CDTF">2026-10-08T07:37:40.841Z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