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[NOME DA INSTITUIÇÃO]</w:t>
      </w:r>
    </w:p>
    <w:p>
      <w:pPr>
        <w:spacing w:after="48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Curso de Análise e Desenvolvimento de Sistemas</w:t>
      </w:r>
    </w:p>
    <w:p>
      <w:pPr>
        <w:spacing w:after="48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Análise Estatística de Focos de Calor no Brasil a partir de Dados de Sensoriamento Remoto da NASA (FIRMS/EOSDIS)</w:t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Medida de Eficiência — Big Data (Unidade I)</w:t>
      </w:r>
    </w:p>
    <w:p>
      <w:pPr>
        <w:spacing w:after="48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Docente: Luiz Gomes da Cunha Neto</w:t>
      </w:r>
    </w:p>
    <w:p>
      <w:pPr>
        <w:spacing w:after="8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[Nome completo do integrante] — matrícula [XXXX]</w:t>
      </w:r>
    </w:p>
    <w:p>
      <w:pPr>
        <w:spacing w:after="7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[Incluir os demais integrantes do grupo]</w:t>
      </w:r>
    </w:p>
    <w:p>
      <w:pPr>
        <w:spacing w:after="24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[Cidade] — 2026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Código-fonte (GitHub): </w:t>
      </w:r>
      <w:hyperlink r:id="rId9">
        <w:r>
          <w:rPr>
            <w:rFonts w:ascii="Times New Roman" w:hAnsi="Times New Roman"/>
            <w:u w:val="single"/>
            <w:color w:val="0563C1"/>
            <w:sz w:val="24"/>
          </w:rPr>
          <w:t>https://github.com/Lu1zH3nriquesF/ME1-Big_Data</w:t>
        </w:r>
      </w:hyperlink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1. Introdução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Queimadas e incêndios florestais no Brasil geram perda de vegetação, emissão de gases e impactos sobre saúde e economia. Observar esse fenômeno em escala nacional exige recorte espacial amplo e atualização frequente. Sensores em órbita — em especial o MODIS, a bordo dos satélites Terra e Aqua — registram anomalias térmicas mesmo em áreas de difícil acesso terrestre.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Este trabalho simula um ciclo completo de análise de dados em Python: da importação do arquivo CSV à interpretação orientada à decisão. A fonte é o FIRMS (Fire Information for Resource Management System), serviço da NASA distribuído pelo EOSDIS/LANCE. A pergunta de pesquisa é: como se distribui a intensidade dos focos de calor detectados no Brasil neste recorte, e existe associação entre a intensidade do fogo (FRP) e o período de detecção (diurno/noturno)?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2. Material e método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análise foi implementada em Python, com pandas e numpy para manipulação e cálculo, e matplotlib/seaborn para visualização. O pipeline não faz requisição HTTP em tempo de execução: lê o CSV local originado do FIRMS. O código completo está publicado em repositório público, conforme exigência de anexar ou compartilhar o código-fonte.</w:t>
      </w:r>
    </w:p>
    <w:p>
      <w:pPr>
        <w:spacing w:before="20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Quadro 1 — Material utilizado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Item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Especificação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Linguagem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 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Bibliotecas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pandas, numpy, matplotlib, seaborn, tabulate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Fonte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NASA FIRMS / EOSDIS — produto MODIS NRT (MCD14DL)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https://firms.modaps.eosdis.nasa.gov/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Meio de obtenção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CSV local em dados/bruto/ (sem API em execução)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Arquivo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firms_MODIS_NRT_BRA_20260911_211449.csv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Recorte espacial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Brasil (BRA)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Recorte temporal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08/09/2026 a 11/09/2026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Amostra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6.321 registros (mínimo exigido: 100)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Repositório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https://github.com/Lu1zH3nriquesF/ME1-Big_Data</w:t>
            </w:r>
          </w:p>
        </w:tc>
      </w:tr>
    </w:tbl>
    <w:p>
      <w:pPr>
        <w:spacing w:after="120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escolha do FIRMS, dentro do EOSDIS, é metodológica. A maior parte dos produtos EOSDIS é distribuída em NetCDF-4/HDF5 (grade raster multidimensional, sem variável categórica na mesma tabela). A ME exige variável numérica e categórica juntas. O FIRMS entrega CSV tabular com frp (escala de razão) e satellite (escala nominal).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produto utilizado é near real-time (NRT). O guia do usuário da NASA recomenda não empregar NRT em séries longas ou estudos de tendência, para os quais existe o produto padrão. Esta análise é um retrato transversal de quatro dias; portanto o NRT é adequado ao escopo. Execução: python main.py, após instalar as dependências de requirements.txt. Instruções detalhadas constam do README do repositório.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3. Item (a) — Descrição e importação dos dados (0,3 ponto)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3.1 Identificação da fonte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Órgão: NASA — Fire Information for Resource Management System (FIRMS), distribuído pelo EOSDIS/LANCE. Portal: https://firms.modaps.eosdis.nasa.gov/. Arquivo: dados/bruto/firms_MODIS_NRT_BRA_20260911_211449.csv. Sensor: MODIS_NRT (satélites Terra e Aqua). Tema: detecção de focos de calor (queimadas e incêndios florestais), com medição da potência radiativa liberada (FRP).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3.2 Importação e pré-processamento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leitura é local (pd.read_csv em src/coleta.py). Não há chamada à API no pipeline entregue. A preparação (src/preparacao.py) reconstitui o timestamp data_hora a partir de acq_date e acq_time (HHMM), converte tipos numéricos com errors='coerce' e prevê a remoção de FRP ausente, FRP menor ou igual a zero e duplicatas exatas.</w:t>
      </w:r>
    </w:p>
    <w:p>
      <w:pPr>
        <w:spacing w:before="20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Tabela 1 — Log de limpeza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Etapa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Registros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Originais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6.321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Timestamps inválidos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Removidos (FRP ausente)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Removidos (FRP zero)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Duplicatas removidas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Finais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6.321 (100% retidos)</w:t>
            </w:r>
          </w:p>
        </w:tc>
      </w:tr>
    </w:tbl>
    <w:p>
      <w:pPr>
        <w:spacing w:after="120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Registros com FRP ausente não foram imputados com a média: imputar inventariaria intensidade de fogo que não foi medida. FRP igual a zero deslocaria média e mediana para baixo sem energia radiativa mensurável. Nesta extração nenhum registro caiu nessas regras, de modo que a representatividade da amostra original foi preservada.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3.3 Características estatísticas das variáveis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Amostra final: 6.321 linhas × 15 colunas, acima do mínimo de 100 registros exigido pelo enunciado. Completude: 0% de ausentes nas colunas utilizadas. Ponto de atenção da documentação do produto: no MODIS a coluna confidence é quantitativa (0 a 100, escala de razão); no sensor VIIRS a homônima seria qualitativa ordinal (low/nominal/high). A classificação abaixo segue o MODIS.</w:t>
      </w:r>
    </w:p>
    <w:p>
      <w:pPr>
        <w:spacing w:before="20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Tabela 2 — Escalas de medida (item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Coluna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Escala de medida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frp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Razão (MW; zero = ausência de energia)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brightness, bright_t31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Razão (Kelvin)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latitude, longitude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Intervalar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acq_date, acq_time, data_hora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Intervalar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satellite, instrument, version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Nominal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daynight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Nominal dicotômica (D/N)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confidence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Razão (0–100)</w:t>
            </w:r>
          </w:p>
        </w:tc>
      </w:tr>
    </w:tbl>
    <w:p>
      <w:pPr>
        <w:spacing w:after="120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Variável numérica principal: frp (Fire Radiative Power, MW). Variável categórica: satellite (Terra ou Aqua). Auxiliar do item (d): daynight.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4. Item (b) — Estatística descritiva aprofundada (0,6 ponto)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FRP mede a intensidade energética do foco, e não apenas a ocorrência. Por isso foi escolhido como variável numérica principal. Os cálculos estão em src/descritiva.py.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4.1 Tendência central, dispersão e posição</w:t>
      </w:r>
    </w:p>
    <w:p>
      <w:pPr>
        <w:spacing w:before="20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Tabela 3 — Medidas descritivas do FRP (n = 6.321)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Medida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41,96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Mediana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18,13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Variância (s²)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12.467,90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Desvio padrão (s)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111,66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Coeficiente de variação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266,12%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Amplitude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3.606,67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Mínimo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2,52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Q1 (25%)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9,71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Q2 (50% = mediana)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18,13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Q3 / percentil 75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38,56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Máximo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3.609,19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IQR (Q3 − Q1)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28,85 MW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4.2 Moda da variável categórica</w:t>
      </w:r>
    </w:p>
    <w:p>
      <w:pPr>
        <w:spacing w:before="20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Tabela 4 — Distribuição de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Categoria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Frequência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Percentual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Aqua (moda)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4.522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71,54%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Terra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1.799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28,46%</w:t>
            </w:r>
          </w:p>
        </w:tc>
      </w:tr>
    </w:tbl>
    <w:p>
      <w:pPr>
        <w:spacing w:after="120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distribuição é unimodal. A moda é Aqua, com 4.522 detecções.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4.3 Justificativa: média versus mediana</w:t>
      </w:r>
    </w:p>
    <w:p>
      <w:pPr>
        <w:spacing w:before="20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Tabela 5 — Forma da distribuição e outliers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Medida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Assimetria (skewness)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15,21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Curtose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355,63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Diferença média − mediana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23,83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Razão média / mediana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2,31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Outliers (Tukey, 1,5×IQR)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632 (10,00%)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Limite superior Tukey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81,84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Maior valor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3.609,19 MW</w:t>
            </w:r>
          </w:p>
        </w:tc>
      </w:tr>
    </w:tbl>
    <w:p>
      <w:pPr>
        <w:spacing w:after="120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média (41,96 MW) é 2,31 vezes a mediana (18,13 MW). A assimetria de 15,21 classifica a distribuição como fortemente assimétrica à direita: há uma cauda longa de valores altos. Pelo critério de Tukey, 632 focos (10%) são outliers; o mais intenso atingiu 3.609,19 MW.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média incorpora todos os valores e, por isso, é arrastada pelos focos extremos. A mediana é posicional (o quinquagésimo centésimo da amostra ordenada) e praticamente ignora a magnitude da cauda. Em queimadas esse padrão é esperado: muitos focos de baixa potência e raros eventos de alta energia.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desvio padrão (111,66 MW) supera a própria média. O coeficiente de variação de 266% indica heterogeneidade extrema: não existe um “foco típico” estável em torno da média. A dispersão é da mesma ordem de grandeza — e maior — que o nível médio da variável.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reportar a intensidade típica de um foco, adota-se a mediana (18,13 MW), por ser robusta a outliers. A média permanece útil para estimar energia total liberada, situação em que a magnitude dos extremos importa, mas não deve ser apresentada como valor típico.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4.4 Comparação entre satélites</w:t>
      </w:r>
    </w:p>
    <w:p>
      <w:pPr>
        <w:spacing w:before="20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Tabela 6 — FRP por satélite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Satélite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Média (MW)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Mediana (MW)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Desvio padrão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Máximo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Aqua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4.522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44,65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19,36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115,27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3.609,19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Terra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1.799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35,19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15,04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101,75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1.611,78</w:t>
            </w:r>
          </w:p>
        </w:tc>
      </w:tr>
    </w:tbl>
    <w:p>
      <w:pPr>
        <w:spacing w:after="120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Aqua detectou mais focos e, neste recorte, apresentou média e mediana um pouco maiores. Hipótese a investigar — e não conclusão causal —: Terra e Aqua passam em horários diferentes, o que altera a chance de captar o pico diário de queima. Confirmar isso exigiria cruzar o horário de overpass com acq_time.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5. Item (c) — Visualização e análise da distribuição (0,4 ponto)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Foram geradas quatro figuras (mínimo exigido: duas), com quartis destacados na Figura 1. Duas decisões técnicas merecem registro: (1) o eixo do FRP está em escala logarítmica, porque em escala linear os outliers comprimem a massa de dados contra a esquerda; (2) a frequência categórica usa barras, e não pizza, pois comparar comprimentos é perceptualmente mais preciso que comparar ângulos.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44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icao_frp_boxplot_histogra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Figura 1 — Distribuição do FRP: box plot e histograma, com Q1, Q2, Q3 e média destacados.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Figura 1 mostra concentração à esquerda (muitos focos de baixo FRP), cauda longa à direita e a média à direita da mediana, confirmando visualmente o diagnóstico do item (b).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43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equencia_por_satel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4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Figura 2 — Frequência de detecções por satélite (moda = Aqua).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Figura 2 deixa explícito o desequilíbrio: Aqua concentra cerca de 72% das detecções. As categorias não estão equilibradas.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5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rp_por_satel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Figura 3 — Box plots comparativos do FRP por satélite.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Na Figura 3 as duas caixas se sobrepõem (mesma ordem de grandeza), com o Aqua um pouco deslocado para cima e máximos mais extremos. A assimetria aparece dentro de cada satélite, não apenas no agregado.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67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persao_geograf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6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Figura 4 — Dispersão geográfica dos focos (longitude × latitude), com FRP na cor.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Figura 4 indica que os focos não se espalham de modo uniforme pelo território: há aglomerados. Isso sustenta priorizar recursos por região, e não pela média nacional. Limitação: o CSV veio de recorte por bounding box; pontos próximos à fronteira podem pertencer a países vizinhos.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6. Item (d) — Probabilidade simples e condicional (0,3 ponto)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 probabilidades foram estimadas pela via frequentista (casos favoráveis dividido pelo total da amostra). O código está em src/probabilidade.py.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6.1 Definição formal dos eventos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Probabilidade simples: A = o foco selecionado possui FRP acima do percentil 75 (valor de corte = 38,56 MW). Probabilidade condicional: A = a detecção ocorreu no período noturno (daynight = N); B = o foco possui FRP acima da média da amostra (41,96 MW).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6.2 Probabilidade simples — P(A)</w:t>
      </w:r>
    </w:p>
    <w:p>
      <w:pPr>
        <w:spacing w:before="20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Tabela 7 — Probabilidade simples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Medida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Evento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FRP acima do percentil 75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Valor de corte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38,56 MW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Casos favoráveis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1.580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Espaço amostral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6.321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P(A)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0,2500 (25,00%)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Valor teórico esperado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0,2500</w:t>
            </w:r>
          </w:p>
        </w:tc>
      </w:tr>
    </w:tbl>
    <w:p>
      <w:pPr>
        <w:spacing w:after="120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valor empírico coincidiu com o teórico de 0,25: um quarto dos focos está estritamente acima do percentil 75. Pequenos desvios poderiam ocorrer se muitos valores caíssem exatamente no ponto de corte, pois a regra utilizada é a desigualdade estrita.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6.3 Probabilidade condicional — P(A|B)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Condicionar em B reduz o espaço amostral: em vez de olhar os 6.321 focos, passa-se a olhar apenas o subconjunto em que o FRP supera a média — 1.437 registros. Desses, 240 são noturnos.</w:t>
      </w:r>
    </w:p>
    <w:p>
      <w:pPr>
        <w:spacing w:before="200" w:after="8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Tabela 8 — Probabilidade condicional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Medida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detecção noturna (daynight = N)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FRP acima da média (41,96 MW)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P(A)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0,2245 (22,45%)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P(B)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0,2273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P(A ∩ B)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0,0380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P(A|B)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0,1670 (16,70%)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Espaço amostral reduzido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1.437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Casos favoráveis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Variação vs P(A)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−0,0575 (−5,75 p.p.)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Independentes?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Não</w:t>
            </w:r>
          </w:p>
        </w:tc>
      </w:tr>
    </w:tbl>
    <w:p>
      <w:pPr>
        <w:spacing w:after="120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P(A|B) é menor que P(A): os eventos são dependentes. Saber que o foco é mais intenso que a média reduz em 5,75 pontos percentuais a chance de ele ter sido detectado à noite. Em termos operacionais, focos acima da média concentram-se mais no período diurno neste recorte; o plantão noturno permanece necessário (22% das detecções gerais são noturnas), mas o gatilho de alerta por FRP alto encontra mais eventos de dia.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7. Item (e) — Interpretação, insights e decisão (0,4 ponto)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intensidade não se espalha de modo homogêneo: a mediana (18 MW) descreve o foco comum, enquanto a média (42 MW) e o máximo (3.609 MW) descrevem a cauda. Focos intensos associam-se menos ao período noturno. O satélite Aqua responde por 71,5% das detecções neste arquivo.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7.1 Insight 1 — Poucos focos concentram a energia extrema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Evidência: assimetria 15,21; 10% de outliers; máximo de 3.609 MW contra mediana de 18,13 MW. Interpretação: a maior parte das detecções é de baixa potência; a energia extrema está em uma minoria. Relevância: tratar os 6.321 pontos com a mesma prioridade dilui recurso. Priorizar a cauda (acima de Q3 = 38,56 MW, ou acima de 81,84 MW) é mais eficiente.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7.2 Insight 2 — Intensidade acima da média é menos noturna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Evidência: P(noturno) = 22,45%; P(noturno | FRP &gt; média) = 16,70%. Interpretação: condicionar em fogo intenso reduz a probabilidade de noite em 5,75 pontos percentuais. Relevância: o monitoramento de picos de FRP deve estar reforçado no turno diurno, sem desativar a cobertura noturna.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7.3 Insight 3 — Aqua domina a amostra; o território não é uniforme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Evidência: Aqua 4.522 (71,5%) versus Terra 1.799; Figura 4 com aglomerados geográficos. Interpretação: a estatística nacional mistura satélites e regiões; a mediana do Aqua (19,36 MW) supera a do Terra (15,04 MW). Relevância: alocar brigadas pela densidade local, não pela média Brasil, e declarar explicitamente o peso do Aqua nesta extração.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7.4 Decisões organizacionais propostas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Organização de referência: IBAMA/Prevfogo ou secretaria estadual de meio ambiente. Cada decisão cita o número que a justifica.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Primeira: instituir alerta prioritário quando o FRP superar 38,56 MW (percentil 75), concentrando ação nos 25% de focos mais energéticos (1.580 registros neste recorte). Segunda: reforçar a escala de plantão diurno para eventos acima da média (41,96 MW), com base em P(A|B) = 16,7% contra 22,5%. Terceira: posicionar recursos segundo os aglomerados da Figura 4, e não segundo a média nacional (CV 266%). Quarta: manter o CSV bruto e o código no GitHub, para que a análise seja reproduzível sem depender da disponibilidade da API FIRMS.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8. Conclusão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ciclo importação–descritiva–gráficos–probabilidade–decisão mostra que, no Brasil entre 08 e 11 de setembro de 2026 (n = 6.321), a intensidade típica de um foco é da ordem da mediana (18 MW), enquanto a média (42 MW) é inflada por uma cauda extrema. Focos acima da média tendem a ser menos noturnos. Limitações: janela temporal curta (sem conclusão sazonal); produto NRT sujeito a reprocessamento; nuvens e horário de passagem podem ocultar focos reais; o bounding box pode incluir pontos de fronteira; associação estatística não estabelece causalidade. Próximo passo recomendado: repetir a análise com o produto padrão (MCD14ML) em janela sazonal e recorte por bioma.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Referências</w:t>
      </w:r>
    </w:p>
    <w:p>
      <w:pPr>
        <w:spacing w:after="16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NASA. MODIS/Aqua+Terra Thermal Anomalies/Fire locations 1km FIRMS V0061 NRT (MCD14DL). NASA Land, Atmosphere Near real-time Capability for EOS (LANCE) / Fire Information for Resource Management System (FIRMS), 2026. DOI: 10.5067/FIRMS/MODIS/MCD14DL.NRT.0061. Disponível em: https://firms.modaps.eosdis.nasa.gov/. Acesso em: 11 set. 2026.</w:t>
      </w:r>
    </w:p>
    <w:p>
      <w:pPr>
        <w:spacing w:after="16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GIGLIO, L.; SCHROEDER, W.; JUSTICE, C. O. The collection 6 MODIS active fire detection algorithm and fire products. Remote Sensing of Environment, v. 178, p. 31-41, 2016. DOI: 10.1016/j.rse.2016.02.054.</w:t>
      </w:r>
    </w:p>
    <w:p>
      <w:pPr>
        <w:spacing w:after="16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DAVIES, D. K.; ILAVAJHALA, S.; WONG, M. M.; JUSTICE, C. O. Fire Information for Resource Management System: Archiving and Distributing MODIS Active Fire Data. IEEE Transactions on Geoscience and Remote Sensing, v. 47, n. 1, p. 72-79, 2009. DOI: 10.1109/TGRS.2008.2002076.</w:t>
      </w:r>
    </w:p>
    <w:p>
      <w:pPr>
        <w:spacing w:after="16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NASA. MODIS Collection 6/6.1 Active Fire Product User’s Guide. NASA Earthdata, 2023. Disponível em: https://www.earthdata.nasa.gov/. Acesso em: 17 set. 2026.</w:t>
      </w:r>
    </w:p>
    <w:p>
      <w:pPr>
        <w:spacing w:after="16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HENRIQUES, L. et al. ME1-Big_Data. GitHub, 2026. Disponível em: https://github.com/Lu1zH3nriquesF/ME1-Big_Data. Acesso em: 17 set. 2026.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Incluir também as unidades de aprendizagem do catálogo Sagah listadas no enunciado da disciplina, conforme orientação do docente.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Apêndice — Código-fonte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enunciado exige que o código seja anexado ou tenha o link compartilhado no relatório. Adota-se o repositório público abaixo, acessível sem login.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Repositório: </w:t>
      </w:r>
      <w:hyperlink r:id="rId9">
        <w:r>
          <w:rPr>
            <w:rFonts w:ascii="Times New Roman" w:hAnsi="Times New Roman"/>
            <w:u w:val="single"/>
            <w:color w:val="0563C1"/>
            <w:sz w:val="24"/>
          </w:rPr>
          <w:t>https://github.com/Lu1zH3nriquesF/ME1-Big_Data</w:t>
        </w:r>
      </w:hyperlink>
    </w:p>
    <w:p>
      <w:pPr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Clone: </w:t>
      </w:r>
      <w:hyperlink r:id="rId14">
        <w:r>
          <w:rPr>
            <w:rFonts w:ascii="Times New Roman" w:hAnsi="Times New Roman"/>
            <w:u w:val="single"/>
            <w:color w:val="0563C1"/>
            <w:sz w:val="24"/>
          </w:rPr>
          <w:t>https://github.com/Lu1zH3nriquesF/ME1-Big_Data.git</w:t>
        </w:r>
      </w:hyperlink>
    </w:p>
    <w:p>
      <w:pPr>
        <w:spacing w:after="16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Árvore principal do projeto:</w:t>
      </w:r>
    </w:p>
    <w:p>
      <w:pPr>
        <w:ind w:firstLine="0" w:left="567"/>
        <w:jc w:val="left"/>
      </w:pPr>
      <w:r>
        <w:rPr>
          <w:rFonts w:ascii="Consolas" w:hAnsi="Consolas" w:eastAsia="Consolas"/>
          <w:sz w:val="20"/>
        </w:rPr>
        <w:t>config.py</w:t>
        <w:br/>
        <w:t>main.py</w:t>
        <w:br/>
        <w:t>validar_pipeline.py</w:t>
        <w:br/>
        <w:t>requirements.txt</w:t>
        <w:br/>
        <w:t>src/</w:t>
        <w:br/>
        <w:t xml:space="preserve">    coleta.py</w:t>
        <w:br/>
        <w:t xml:space="preserve">    preparacao.py</w:t>
        <w:br/>
        <w:t xml:space="preserve">    descritiva.py</w:t>
        <w:br/>
        <w:t xml:space="preserve">    visualizacao.py</w:t>
        <w:br/>
        <w:t xml:space="preserve">    probabilidade.py</w:t>
        <w:br/>
        <w:t xml:space="preserve">    interpretacao.py</w:t>
        <w:br/>
        <w:t>dados/bruto/firms_MODIS_NRT_BRA_20260911_211449.csv</w:t>
        <w:br/>
        <w:t>graficos/*.png</w:t>
        <w:br/>
        <w:t>relatorio/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Reprodução local: python -m pip install -r requirements.txt  e, em seguida,  python main.py. O CSV em dados/bruto/ precisa acompanhar o código; sem ele o pipeline não executa.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Lu1zH3nriquesF/ME1-Big_Data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github.com/Lu1zH3nriquesF/ME1-Big_Dat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