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Tabla. Porcentaje de valores faltantes por variable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1"/>
        <w:gridCol w:w="1866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porcentaje_NA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y_total_m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53.79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48.16</w:t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totalHoursWorked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48.16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sizeFirm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48.16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48.16</w:t>
            </w:r>
          </w:p>
        </w:tc>
      </w:tr>
      <w:tr>
        <w:trPr>
          <w:trHeight w:val="61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p6210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directorio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secuencia_p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fex_c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2026-02-09T15:24:30Z</dcterms:modified>
  <cp:category/>
</cp:coreProperties>
</file>