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Tabla. Porcentaje de valores faltantes (muestra filtrada: edad ≥ 18 y ocupados)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71"/>
        <w:gridCol w:w="1866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porcentaje_NA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y_total_m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10.75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directorio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secuencia_p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totalHoursWorked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p6210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sizeFirm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fex_c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2026-02-09T15:33:50Z</dcterms:modified>
  <cp:category/>
</cp:coreProperties>
</file>