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Tabla. Porcentaje de valores faltantes (muestra filtrada: edad ≥ 18 y ocupados)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71"/>
        <w:gridCol w:w="1866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porcentaje_NA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y_total_m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10.75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directorio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secuencia_p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totalHoursWorked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p6210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sizeFirm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fex_c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2026-02-20T20:51:44Z</dcterms:modified>
  <cp:category/>
</cp:coreProperties>
</file>