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Tabla. Porcentaje de valores faltantes (muestra filtrada: edad ≥ 18 y ocupados)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71"/>
        <w:gridCol w:w="1866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porcentaje_NA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y_total_m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10.75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directorio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secuencia_p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totalHoursWorked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p6210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sizeFirm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5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fex_c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2026-02-18T10:29:48Z</dcterms:modified>
  <cp:category/>
</cp:coreProperties>
</file>