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Tabla. Porcentaje de valores faltantes por variable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71"/>
        <w:gridCol w:w="1866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porcentaje_NA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y_total_m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53.79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totalHoursWorked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sizeFirm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61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p6210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directorio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secuencia_p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fex_c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2026-02-20T20:38:47Z</dcterms:modified>
  <cp:category/>
</cp:coreProperties>
</file>