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Tabla. Porcentaje de valores faltantes (muestra filtrada: edad ≥ 18 y ocupados)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1"/>
        <w:gridCol w:w="1866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porcentaje_NA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y_total_m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10.75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directorio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secuencia_p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totalHoursWorked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p6210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sizeFirm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fex_c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2026-02-20T20:38:49Z</dcterms:modified>
  <cp:category/>
</cp:coreProperties>
</file>