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Tabla. Porcentaje de valores faltantes por variable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71"/>
        <w:gridCol w:w="1866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porcentaje_NA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y_total_m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53.79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totalHoursWorked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sizeFirm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61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p6210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directorio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secuencia_p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fex_c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2026-02-26T20:40:00Z</dcterms:modified>
  <cp:category/>
</cp:coreProperties>
</file>