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6C31" w14:textId="77777777" w:rsidR="0049234F" w:rsidRPr="00C2060D" w:rsidRDefault="00106206">
      <w:pPr>
        <w:spacing w:after="100"/>
        <w:jc w:val="center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40"/>
          <w:szCs w:val="40"/>
        </w:rPr>
        <w:t>癌症藥物治療新進展　臨床試驗彙整對照表</w:t>
      </w:r>
    </w:p>
    <w:p w14:paraId="48A5653F" w14:textId="77777777" w:rsidR="0049234F" w:rsidRPr="00C2060D" w:rsidRDefault="00106206">
      <w:pPr>
        <w:spacing w:after="60"/>
        <w:jc w:val="center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i/>
          <w:iCs/>
          <w:color w:val="666666"/>
        </w:rPr>
        <w:t>依癌別分類 ｜ 試驗組 vs. 對照組 ｜ 主要療效數據 ｜ 台灣健保給付狀態　　資料截至 2026 年 3 月</w:t>
      </w:r>
    </w:p>
    <w:p w14:paraId="0C2A0CBD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443762E3" w14:textId="77777777" w:rsidR="0049234F" w:rsidRPr="00C2060D" w:rsidRDefault="00106206">
      <w:pPr>
        <w:spacing w:before="400" w:after="12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一、肺癌（Lung Cancer）</w:t>
      </w:r>
    </w:p>
    <w:p w14:paraId="1BD96919" w14:textId="77777777" w:rsidR="0049234F" w:rsidRDefault="00106206">
      <w:pPr>
        <w:spacing w:before="200" w:after="80"/>
        <w:rPr>
          <w:rFonts w:ascii="微軟正黑體" w:eastAsia="微軟正黑體" w:hAnsi="微軟正黑體"/>
          <w:b/>
          <w:bCs/>
          <w:color w:val="2B5F9E"/>
          <w:sz w:val="22"/>
          <w:szCs w:val="22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1.1 EGFR 突變型 NSCLC</w:t>
      </w:r>
    </w:p>
    <w:p w14:paraId="34445473" w14:textId="714A04EB" w:rsidR="003E770E" w:rsidRPr="00057C08" w:rsidRDefault="00DE61D3" w:rsidP="00DE61D3">
      <w:pPr>
        <w:spacing w:before="80" w:after="80" w:line="320" w:lineRule="auto"/>
        <w:jc w:val="both"/>
        <w:rPr>
          <w:rFonts w:hint="eastAsia"/>
        </w:rPr>
      </w:pPr>
      <w:r>
        <w:rPr>
          <w:rFonts w:eastAsia="微軟正黑體"/>
          <w:color w:val="000000"/>
        </w:rPr>
        <w:t>EGFR</w:t>
      </w:r>
      <w:r>
        <w:rPr>
          <w:rFonts w:eastAsia="微軟正黑體"/>
          <w:color w:val="000000"/>
        </w:rPr>
        <w:t>突變在台灣及亞洲族群之</w:t>
      </w:r>
      <w:r>
        <w:rPr>
          <w:rFonts w:eastAsia="微軟正黑體"/>
          <w:color w:val="000000"/>
        </w:rPr>
        <w:t>NSCLC</w:t>
      </w:r>
      <w:r>
        <w:rPr>
          <w:rFonts w:eastAsia="微軟正黑體"/>
          <w:color w:val="000000"/>
        </w:rPr>
        <w:t>中發生率達</w:t>
      </w:r>
      <w:r>
        <w:rPr>
          <w:rFonts w:eastAsia="微軟正黑體"/>
          <w:color w:val="000000"/>
        </w:rPr>
        <w:t>40-60%</w:t>
      </w:r>
      <w:r>
        <w:rPr>
          <w:rFonts w:eastAsia="微軟正黑體"/>
          <w:color w:val="000000"/>
        </w:rPr>
        <w:t>，</w:t>
      </w:r>
      <w:r w:rsidRPr="008817AB">
        <w:rPr>
          <w:rFonts w:eastAsia="微軟正黑體"/>
          <w:b/>
          <w:bCs/>
          <w:color w:val="000000"/>
        </w:rPr>
        <w:t xml:space="preserve"> </w:t>
      </w:r>
      <w:r w:rsidRPr="008817AB">
        <w:rPr>
          <w:rFonts w:eastAsia="微軟正黑體"/>
          <w:b/>
          <w:bCs/>
          <w:color w:val="000000"/>
        </w:rPr>
        <w:t>exon 19</w:t>
      </w:r>
      <w:r w:rsidRPr="008817AB">
        <w:rPr>
          <w:rFonts w:eastAsia="微軟正黑體"/>
          <w:b/>
          <w:bCs/>
          <w:color w:val="000000"/>
        </w:rPr>
        <w:t>缺失及</w:t>
      </w:r>
      <w:r w:rsidRPr="008817AB">
        <w:rPr>
          <w:rFonts w:eastAsia="微軟正黑體"/>
          <w:b/>
          <w:bCs/>
          <w:color w:val="000000"/>
        </w:rPr>
        <w:t>exon 21 L858R</w:t>
      </w:r>
      <w:r w:rsidRPr="008817AB">
        <w:rPr>
          <w:rFonts w:eastAsia="微軟正黑體"/>
          <w:b/>
          <w:bCs/>
          <w:color w:val="000000"/>
        </w:rPr>
        <w:t>點突變</w:t>
      </w:r>
      <w:r>
        <w:rPr>
          <w:rFonts w:eastAsia="微軟正黑體"/>
          <w:color w:val="000000"/>
        </w:rPr>
        <w:t>佔所有</w:t>
      </w:r>
      <w:r>
        <w:rPr>
          <w:rFonts w:eastAsia="微軟正黑體"/>
          <w:color w:val="000000"/>
        </w:rPr>
        <w:t>EGFR</w:t>
      </w:r>
      <w:r>
        <w:rPr>
          <w:rFonts w:eastAsia="微軟正黑體"/>
          <w:color w:val="000000"/>
        </w:rPr>
        <w:t>突變約</w:t>
      </w:r>
      <w:r w:rsidRPr="008817AB">
        <w:rPr>
          <w:rFonts w:eastAsia="微軟正黑體"/>
          <w:b/>
          <w:bCs/>
          <w:color w:val="000000"/>
        </w:rPr>
        <w:t>85%</w:t>
      </w:r>
      <w:r>
        <w:rPr>
          <w:rFonts w:eastAsia="微軟正黑體"/>
          <w:color w:val="000000"/>
        </w:rPr>
        <w:t>。</w:t>
      </w:r>
      <w:r w:rsidR="00057C08">
        <w:rPr>
          <w:rFonts w:eastAsia="微軟正黑體" w:hint="eastAsia"/>
          <w:color w:val="000000"/>
        </w:rPr>
        <w:t>Osimertinib</w:t>
      </w:r>
      <w:r w:rsidR="00057C08">
        <w:rPr>
          <w:rFonts w:eastAsia="微軟正黑體"/>
          <w:color w:val="000000"/>
        </w:rPr>
        <w:t>為第三代</w:t>
      </w:r>
      <w:r w:rsidR="00057C08">
        <w:rPr>
          <w:rFonts w:eastAsia="微軟正黑體"/>
          <w:color w:val="000000"/>
        </w:rPr>
        <w:t>EGFR-TKI</w:t>
      </w:r>
      <w:r w:rsidR="00057C08">
        <w:rPr>
          <w:rFonts w:eastAsia="微軟正黑體"/>
          <w:color w:val="000000"/>
        </w:rPr>
        <w:t>，具跨血腦屏障能力，對</w:t>
      </w:r>
      <w:r w:rsidR="00057C08">
        <w:rPr>
          <w:rFonts w:eastAsia="微軟正黑體"/>
          <w:color w:val="000000"/>
        </w:rPr>
        <w:t>T790M</w:t>
      </w:r>
      <w:r w:rsidR="00057C08">
        <w:rPr>
          <w:rFonts w:eastAsia="微軟正黑體"/>
          <w:color w:val="000000"/>
        </w:rPr>
        <w:t>耐藥突變及</w:t>
      </w:r>
      <w:r w:rsidR="00057C08">
        <w:rPr>
          <w:rFonts w:eastAsia="微軟正黑體"/>
          <w:color w:val="000000"/>
        </w:rPr>
        <w:t>EGFR sensitizing mutations</w:t>
      </w:r>
      <w:r w:rsidR="00057C08">
        <w:rPr>
          <w:rFonts w:eastAsia="微軟正黑體"/>
          <w:color w:val="000000"/>
        </w:rPr>
        <w:t>均具活性。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583"/>
        <w:gridCol w:w="3260"/>
        <w:gridCol w:w="2552"/>
        <w:gridCol w:w="3865"/>
        <w:gridCol w:w="2178"/>
      </w:tblGrid>
      <w:tr w:rsidR="0049234F" w:rsidRPr="00C2060D" w14:paraId="484780EF" w14:textId="77777777" w:rsidTr="002E0158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19442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1A050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FEC1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5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1E037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38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3632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F28A8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17165755" w14:textId="77777777" w:rsidTr="002E0158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2AB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Osimertinib（泰格莎） 一線單藥</w:t>
            </w:r>
          </w:p>
          <w:p w14:paraId="3EB66D4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Osimertinib vs. 1/2代TKI</w:t>
            </w:r>
          </w:p>
        </w:tc>
        <w:tc>
          <w:tcPr>
            <w:tcW w:w="1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BF85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FLAURA</w:t>
            </w:r>
          </w:p>
          <w:p w14:paraId="4FC210F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n=556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E9F3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Osimertinib 80mg/日</w:t>
            </w:r>
          </w:p>
        </w:tc>
        <w:tc>
          <w:tcPr>
            <w:tcW w:w="25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EB39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Gefitinib 或 Erlotinib</w:t>
            </w:r>
          </w:p>
        </w:tc>
        <w:tc>
          <w:tcPr>
            <w:tcW w:w="38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C5E0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18.9 vs 10.2個月（HR 0.46, P&lt;0.001）</w:t>
            </w:r>
          </w:p>
          <w:p w14:paraId="0C9018E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38.6 vs 31.8個月（HR 0.80, P=0.046）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7E7A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231FB39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2024/10擴大一線</w:t>
            </w:r>
          </w:p>
          <w:p w14:paraId="12385B6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(IIIB/IIIC/IV期)</w:t>
            </w:r>
          </w:p>
        </w:tc>
      </w:tr>
      <w:tr w:rsidR="0049234F" w:rsidRPr="00C2060D" w14:paraId="0E906FAB" w14:textId="77777777" w:rsidTr="002E0158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1091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Osimertinib + 化療 一線聯合</w:t>
            </w:r>
          </w:p>
          <w:p w14:paraId="4167379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聯合 vs. 單藥</w:t>
            </w:r>
          </w:p>
        </w:tc>
        <w:tc>
          <w:tcPr>
            <w:tcW w:w="1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3D9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FLAURA2</w:t>
            </w:r>
          </w:p>
          <w:p w14:paraId="6FC1264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n=557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87522" w14:textId="1279CB74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Osimertinib + 鉑類+</w:t>
            </w:r>
            <w:r w:rsid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Pemetrexed</w:t>
            </w:r>
          </w:p>
          <w:p w14:paraId="3D226F5F" w14:textId="51361A7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（4週期後續以Osi+</w:t>
            </w:r>
            <w:r w:rsid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Pemetrexed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維持）</w:t>
            </w:r>
          </w:p>
        </w:tc>
        <w:tc>
          <w:tcPr>
            <w:tcW w:w="25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412E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Osimertinib 單藥</w:t>
            </w:r>
          </w:p>
        </w:tc>
        <w:tc>
          <w:tcPr>
            <w:tcW w:w="38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6C95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25.5 vs 16.7個月（HR 0.62, P&lt;0.001）</w:t>
            </w:r>
          </w:p>
          <w:p w14:paraId="2A67E8A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47.5 vs 37.6個月（HR 0.75, P=0.0009）</w:t>
            </w:r>
          </w:p>
          <w:p w14:paraId="6F5414E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83% vs 76%</w:t>
            </w:r>
          </w:p>
          <w:p w14:paraId="07B3709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EGFR突變晚期NSCLC迄今最長OS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1FB1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233A4C5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（FLAURA2依據）</w:t>
            </w:r>
          </w:p>
        </w:tc>
      </w:tr>
      <w:tr w:rsidR="0049234F" w:rsidRPr="00C2060D" w14:paraId="600E4833" w14:textId="77777777" w:rsidTr="002E0158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8AB7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Osimertinib 術後輔助</w:t>
            </w:r>
          </w:p>
          <w:p w14:paraId="0B76E4D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安慰劑</w:t>
            </w:r>
          </w:p>
        </w:tc>
        <w:tc>
          <w:tcPr>
            <w:tcW w:w="1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632E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ADAURA</w:t>
            </w:r>
          </w:p>
          <w:p w14:paraId="194B61C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E697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Osimertinib 80mg/日 × 3年</w:t>
            </w:r>
          </w:p>
        </w:tc>
        <w:tc>
          <w:tcPr>
            <w:tcW w:w="25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6472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</w:t>
            </w:r>
          </w:p>
        </w:tc>
        <w:tc>
          <w:tcPr>
            <w:tcW w:w="38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4D2E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6A1E9A"/>
                <w:sz w:val="17"/>
                <w:szCs w:val="17"/>
              </w:rPr>
              <w:t>DFS  5年DFS率 65% vs 29%（HR 0.27）</w:t>
            </w:r>
          </w:p>
          <w:p w14:paraId="6A9AB33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5年OS率 85% vs 73%（HR 0.49, P&lt;0.0001）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9342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66B2450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（II–IIIA期術後輔助）</w:t>
            </w:r>
          </w:p>
        </w:tc>
      </w:tr>
      <w:tr w:rsidR="0049234F" w:rsidRPr="00C2060D" w14:paraId="1FFFE03E" w14:textId="77777777" w:rsidTr="002E0158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4AAA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Osimertinib 二線 T790M</w:t>
            </w:r>
          </w:p>
          <w:p w14:paraId="2B430E7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鉑類化療</w:t>
            </w:r>
          </w:p>
        </w:tc>
        <w:tc>
          <w:tcPr>
            <w:tcW w:w="1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E267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AURA3</w:t>
            </w:r>
          </w:p>
          <w:p w14:paraId="5665C6F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FE7B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Osimertinib 80mg/日</w:t>
            </w:r>
          </w:p>
        </w:tc>
        <w:tc>
          <w:tcPr>
            <w:tcW w:w="25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655BC" w14:textId="1997325B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鉑類 + </w:t>
            </w:r>
            <w:r w:rsid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Pemetrexed</w:t>
            </w:r>
          </w:p>
        </w:tc>
        <w:tc>
          <w:tcPr>
            <w:tcW w:w="38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3E00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10.1 vs 4.4個月（HR 0.30, P&lt;0.001）</w:t>
            </w:r>
          </w:p>
          <w:p w14:paraId="64D5E7A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26.7 vs 22.5個月（HR 0.80）</w:t>
            </w:r>
          </w:p>
          <w:p w14:paraId="7D2592D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71% vs 31%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E33E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7599954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（T790M耐藥二線）</w:t>
            </w:r>
          </w:p>
        </w:tc>
      </w:tr>
      <w:tr w:rsidR="0049234F" w:rsidRPr="00C2060D" w14:paraId="2B013971" w14:textId="77777777" w:rsidTr="002E0158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A674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Amivantamab + Lazertinib</w:t>
            </w:r>
          </w:p>
          <w:p w14:paraId="5F6967A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Osimertinib</w:t>
            </w:r>
          </w:p>
        </w:tc>
        <w:tc>
          <w:tcPr>
            <w:tcW w:w="15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9A55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MARIPOSA</w:t>
            </w:r>
          </w:p>
          <w:p w14:paraId="1207EAB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n=1,074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5636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Amivantamab（EGFR/MET雙抗）</w:t>
            </w:r>
          </w:p>
          <w:p w14:paraId="5983496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Lazertinib（3代TKI）</w:t>
            </w:r>
          </w:p>
        </w:tc>
        <w:tc>
          <w:tcPr>
            <w:tcW w:w="25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F315B" w14:textId="4744141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Osimertinib 單藥</w:t>
            </w:r>
          </w:p>
        </w:tc>
        <w:tc>
          <w:tcPr>
            <w:tcW w:w="38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545A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23.7 vs 16.6個月（HR 0.70, P&lt;0.001）</w:t>
            </w:r>
          </w:p>
          <w:p w14:paraId="053CF59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腦轉移患者亦顯示顱內PFS優勢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6CCB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未上市</w:t>
            </w:r>
          </w:p>
          <w:p w14:paraId="30078189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TFDA申請中</w:t>
            </w:r>
          </w:p>
        </w:tc>
      </w:tr>
    </w:tbl>
    <w:p w14:paraId="69056144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0E7156E8" w14:textId="77777777" w:rsidR="0049234F" w:rsidRDefault="00106206">
      <w:pPr>
        <w:spacing w:before="200" w:after="80"/>
        <w:rPr>
          <w:rFonts w:ascii="微軟正黑體" w:eastAsia="微軟正黑體" w:hAnsi="微軟正黑體"/>
          <w:b/>
          <w:bCs/>
          <w:color w:val="2B5F9E"/>
          <w:sz w:val="22"/>
          <w:szCs w:val="22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1.2 ALK 陽性 NSCLC</w:t>
      </w:r>
    </w:p>
    <w:p w14:paraId="6B8FB08D" w14:textId="226A3688" w:rsidR="002F3D72" w:rsidRPr="002F3D72" w:rsidRDefault="002F3D72">
      <w:pPr>
        <w:spacing w:before="200" w:after="80"/>
        <w:rPr>
          <w:rFonts w:eastAsia="微軟正黑體" w:hint="eastAsia"/>
          <w:color w:val="000000"/>
        </w:rPr>
      </w:pPr>
      <w:r w:rsidRPr="002F3D72">
        <w:rPr>
          <w:rFonts w:eastAsia="微軟正黑體"/>
          <w:color w:val="000000"/>
        </w:rPr>
        <w:t>ALK</w:t>
      </w:r>
      <w:r w:rsidRPr="002F3D72">
        <w:rPr>
          <w:rFonts w:eastAsia="微軟正黑體"/>
          <w:color w:val="000000"/>
        </w:rPr>
        <w:t>基因融合發生率約</w:t>
      </w:r>
      <w:r w:rsidRPr="002F3D72">
        <w:rPr>
          <w:rFonts w:eastAsia="微軟正黑體"/>
          <w:color w:val="000000"/>
        </w:rPr>
        <w:t>3-7%</w:t>
      </w:r>
      <w:r w:rsidRPr="002F3D72">
        <w:rPr>
          <w:rFonts w:eastAsia="微軟正黑體"/>
          <w:color w:val="000000"/>
        </w:rPr>
        <w:t>，多見於年輕、非吸菸及腺癌患者</w:t>
      </w:r>
      <w:r>
        <w:rPr>
          <w:rFonts w:eastAsia="微軟正黑體" w:hint="eastAsia"/>
          <w:color w:val="000000"/>
        </w:rPr>
        <w:t>。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091"/>
        <w:gridCol w:w="2126"/>
        <w:gridCol w:w="4111"/>
        <w:gridCol w:w="3350"/>
      </w:tblGrid>
      <w:tr w:rsidR="0049234F" w:rsidRPr="00C2060D" w14:paraId="225C6A0C" w14:textId="77777777" w:rsidTr="000F089E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FB6A8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F239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572E2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51AD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2D882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3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8D47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19F49C51" w14:textId="77777777" w:rsidTr="000F089E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D0F66" w14:textId="05A7FD5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Lorlatinib（</w:t>
            </w:r>
            <w:r w:rsidR="000F089E" w:rsidRPr="000F089E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瘤利剋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）</w:t>
            </w:r>
          </w:p>
          <w:p w14:paraId="6324890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3代ALK-TKI vs. Crizotinib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8DA1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CROWN</w:t>
            </w:r>
          </w:p>
          <w:p w14:paraId="67C4297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n=296  5年追蹤</w:t>
            </w:r>
          </w:p>
        </w:tc>
        <w:tc>
          <w:tcPr>
            <w:tcW w:w="2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11E2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Lorlatinib 100mg/日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A80FD" w14:textId="4A7E841F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Crizotinib 250mg bid</w:t>
            </w:r>
            <w:r w:rsidR="000F089E" w:rsidRPr="00C2060D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33F2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5年PFS率 60.2% vs 8.3%（HR 0.27）</w:t>
            </w:r>
          </w:p>
          <w:p w14:paraId="114B965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中位PFS 未到達（&gt;60月）vs 9.1個月</w:t>
            </w:r>
          </w:p>
          <w:p w14:paraId="1BD2434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顱內反應率 72.9% vs 23.3%</w:t>
            </w:r>
          </w:p>
          <w:p w14:paraId="6C6C71F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5年顱內PFS率 71.8% vs 15.4%</w:t>
            </w:r>
          </w:p>
        </w:tc>
        <w:tc>
          <w:tcPr>
            <w:tcW w:w="3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8CF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已核准（Lorbrena）</w:t>
            </w:r>
          </w:p>
          <w:p w14:paraId="7AF4BC9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健保需事前申請</w:t>
            </w:r>
          </w:p>
        </w:tc>
      </w:tr>
      <w:tr w:rsidR="0049234F" w:rsidRPr="00C2060D" w14:paraId="6A2B4359" w14:textId="77777777" w:rsidTr="000F089E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D9BC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Alectinib（安立適）</w:t>
            </w:r>
          </w:p>
          <w:p w14:paraId="02EDFEA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2代ALK-TKI vs. Crizotinib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F32F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ALEX</w:t>
            </w:r>
          </w:p>
          <w:p w14:paraId="1C62456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</w:t>
            </w:r>
          </w:p>
        </w:tc>
        <w:tc>
          <w:tcPr>
            <w:tcW w:w="2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5E5F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Alectinib 600mg bid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5FFC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Crizotinib 250mg bid</w:t>
            </w:r>
          </w:p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5E6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34.8 vs 10.9個月（HR 0.43）</w:t>
            </w:r>
          </w:p>
          <w:p w14:paraId="31BB92D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4年PFS率 44.2% vs 28.0%</w:t>
            </w:r>
          </w:p>
          <w:p w14:paraId="03FC452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顱內反應率 81% vs 50%（有BM者）</w:t>
            </w:r>
          </w:p>
        </w:tc>
        <w:tc>
          <w:tcPr>
            <w:tcW w:w="3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4B75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</w:tc>
      </w:tr>
      <w:tr w:rsidR="0049234F" w:rsidRPr="00C2060D" w14:paraId="742DF8F0" w14:textId="77777777" w:rsidTr="000F089E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3A226" w14:textId="5100530F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Brigatinib（</w:t>
            </w:r>
            <w:r w:rsidR="000F089E">
              <w:rPr>
                <w:rFonts w:ascii="微軟正黑體" w:eastAsia="微軟正黑體" w:hAnsi="微軟正黑體" w:hint="eastAsia"/>
                <w:b/>
                <w:bCs/>
                <w:color w:val="1E3A5F"/>
                <w:sz w:val="17"/>
                <w:szCs w:val="17"/>
              </w:rPr>
              <w:t>癌能畢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）</w:t>
            </w:r>
          </w:p>
          <w:p w14:paraId="2430461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2代ALK-TKI vs. Crizotinib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E130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ALTA-1L</w:t>
            </w:r>
          </w:p>
          <w:p w14:paraId="302E087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</w:t>
            </w:r>
          </w:p>
        </w:tc>
        <w:tc>
          <w:tcPr>
            <w:tcW w:w="20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A7F0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Brigatinib 180mg/日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1C41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Crizotinib 250mg bid</w:t>
            </w:r>
          </w:p>
        </w:tc>
        <w:tc>
          <w:tcPr>
            <w:tcW w:w="41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BE21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24.0 vs 11.0個月（HR 0.49, P&lt;0.0001）</w:t>
            </w:r>
          </w:p>
          <w:p w14:paraId="4D6DA0B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74% vs 62%</w:t>
            </w:r>
          </w:p>
        </w:tc>
        <w:tc>
          <w:tcPr>
            <w:tcW w:w="33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BB58D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已核准</w:t>
            </w:r>
          </w:p>
          <w:p w14:paraId="0B4BC0B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健保給付中</w:t>
            </w:r>
          </w:p>
        </w:tc>
      </w:tr>
    </w:tbl>
    <w:p w14:paraId="22B3FDB3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6E188395" w14:textId="77777777" w:rsidR="0049234F" w:rsidRDefault="00106206">
      <w:pPr>
        <w:spacing w:before="200" w:after="80"/>
        <w:rPr>
          <w:rFonts w:ascii="微軟正黑體" w:eastAsia="微軟正黑體" w:hAnsi="微軟正黑體"/>
          <w:b/>
          <w:bCs/>
          <w:color w:val="2B5F9E"/>
          <w:sz w:val="22"/>
          <w:szCs w:val="22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1.3 免疫治療及 KRAS G12C</w:t>
      </w:r>
    </w:p>
    <w:p w14:paraId="639315E7" w14:textId="1CBC1A8F" w:rsidR="00F8422D" w:rsidRPr="00C2060D" w:rsidRDefault="00F8422D">
      <w:pPr>
        <w:spacing w:before="200" w:after="80"/>
        <w:rPr>
          <w:rFonts w:ascii="微軟正黑體" w:eastAsia="微軟正黑體" w:hAnsi="微軟正黑體"/>
        </w:rPr>
      </w:pPr>
      <w:r w:rsidRPr="00F8422D">
        <w:rPr>
          <w:rFonts w:eastAsia="微軟正黑體"/>
          <w:color w:val="000000"/>
        </w:rPr>
        <w:t>KRAS G12C</w:t>
      </w:r>
      <w:r w:rsidRPr="00F8422D">
        <w:rPr>
          <w:rFonts w:eastAsia="微軟正黑體"/>
          <w:color w:val="000000"/>
        </w:rPr>
        <w:t>突變在西方人</w:t>
      </w:r>
      <w:r w:rsidRPr="00F8422D">
        <w:rPr>
          <w:rFonts w:eastAsia="微軟正黑體"/>
          <w:color w:val="000000"/>
        </w:rPr>
        <w:t>NSCLC</w:t>
      </w:r>
      <w:r w:rsidRPr="00F8422D">
        <w:rPr>
          <w:rFonts w:eastAsia="微軟正黑體"/>
          <w:color w:val="000000"/>
        </w:rPr>
        <w:t>中佔約</w:t>
      </w:r>
      <w:r w:rsidRPr="00F8422D">
        <w:rPr>
          <w:rFonts w:eastAsia="微軟正黑體"/>
          <w:color w:val="000000"/>
        </w:rPr>
        <w:t>13%</w:t>
      </w:r>
      <w:r w:rsidRPr="00F8422D">
        <w:rPr>
          <w:rFonts w:eastAsia="微軟正黑體"/>
          <w:color w:val="000000"/>
        </w:rPr>
        <w:t>，亞洲人約</w:t>
      </w:r>
      <w:r w:rsidRPr="00F8422D">
        <w:rPr>
          <w:rFonts w:eastAsia="微軟正黑體"/>
          <w:color w:val="000000"/>
        </w:rPr>
        <w:t>4-6%</w:t>
      </w:r>
      <w:r w:rsidRPr="00F8422D">
        <w:rPr>
          <w:rFonts w:eastAsia="微軟正黑體"/>
          <w:color w:val="000000"/>
        </w:rPr>
        <w:t>。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3953"/>
        <w:gridCol w:w="2925"/>
      </w:tblGrid>
      <w:tr w:rsidR="0049234F" w:rsidRPr="00C2060D" w14:paraId="6FF1995B" w14:textId="77777777" w:rsidTr="00782FDA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CD6E0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C3101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0E73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288D5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3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85695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9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E47B4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05617371" w14:textId="77777777" w:rsidTr="00782FDA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5378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Pembrolizumab（吉舒達） 單藥一線</w:t>
            </w:r>
          </w:p>
          <w:p w14:paraId="517F756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PD-L1 TPS</w:t>
            </w:r>
            <w:r w:rsidRPr="00C2060D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≥</w:t>
            </w: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50%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6ED7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KEYNOTE-024</w:t>
            </w:r>
          </w:p>
          <w:p w14:paraId="678FF4C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n=305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E795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200mg q3w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276D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含鉑雙藥化療</w:t>
            </w:r>
          </w:p>
          <w:p w14:paraId="1915618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（醫師選擇）</w:t>
            </w:r>
          </w:p>
        </w:tc>
        <w:tc>
          <w:tcPr>
            <w:tcW w:w="3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A7E6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10.3 vs 6.0個月（HR 0.50, P&lt;0.001）</w:t>
            </w:r>
          </w:p>
          <w:p w14:paraId="18E149B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26.3 vs 14.2個月（HR 0.62）</w:t>
            </w:r>
          </w:p>
          <w:p w14:paraId="15D669D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5年OS率 31.9% vs 16.3%</w:t>
            </w:r>
          </w:p>
          <w:p w14:paraId="5DA848C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44.8% vs 27.8%</w:t>
            </w:r>
          </w:p>
        </w:tc>
        <w:tc>
          <w:tcPr>
            <w:tcW w:w="29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DFAE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798F314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（2025/6擴大，TPS</w:t>
            </w:r>
            <w:r w:rsidRPr="00C2060D">
              <w:rPr>
                <w:rFonts w:ascii="Cambria Math" w:eastAsia="微軟正黑體" w:hAnsi="Cambria Math" w:cs="Cambria Math"/>
                <w:color w:val="333333"/>
                <w:sz w:val="15"/>
                <w:szCs w:val="15"/>
              </w:rPr>
              <w:t>≥</w:t>
            </w: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50%）</w:t>
            </w:r>
          </w:p>
        </w:tc>
      </w:tr>
      <w:tr w:rsidR="0049234F" w:rsidRPr="00C2060D" w14:paraId="5BDCE84C" w14:textId="77777777" w:rsidTr="00782FDA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66E07" w14:textId="66BCE3E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 + </w:t>
            </w:r>
            <w:r w:rsid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Pemetrexed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 + 鉑類 </w:t>
            </w:r>
            <w:r w:rsidRPr="00782FDA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非鱗狀</w:t>
            </w:r>
            <w:r w:rsidRPr="00782FDA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NSCLC</w:t>
            </w:r>
            <w:r w:rsidRPr="00782FDA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一線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7A9F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KEYNOTE-189</w:t>
            </w:r>
          </w:p>
          <w:p w14:paraId="450FE44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n=616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8410E" w14:textId="7F2E7A3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Pembrolizumab + </w:t>
            </w:r>
            <w:r w:rsid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Pemetrexed</w:t>
            </w:r>
          </w:p>
          <w:p w14:paraId="64D4795F" w14:textId="7EFFF97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Carboplatin/Cisplatin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430D4" w14:textId="77777777" w:rsidR="008B0C77" w:rsidRDefault="00106206">
            <w:pPr>
              <w:spacing w:after="40"/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安慰劑 + </w:t>
            </w:r>
          </w:p>
          <w:p w14:paraId="490405DE" w14:textId="52E93C89" w:rsidR="0049234F" w:rsidRPr="00C2060D" w:rsidRDefault="00C2060D">
            <w:pPr>
              <w:spacing w:after="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Pemetrexed</w:t>
            </w:r>
          </w:p>
          <w:p w14:paraId="3A61E632" w14:textId="2841DA7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Carboplatin/Cisplatin</w:t>
            </w:r>
          </w:p>
        </w:tc>
        <w:tc>
          <w:tcPr>
            <w:tcW w:w="3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8F01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9.0 vs 4.9個月（HR 0.48, P&lt;0.001）</w:t>
            </w:r>
          </w:p>
          <w:p w14:paraId="2FB0949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22.0 vs 10.7個月（HR 0.56, P&lt;0.001）</w:t>
            </w:r>
          </w:p>
          <w:p w14:paraId="2440B7E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47.6% vs 18.9%</w:t>
            </w:r>
          </w:p>
        </w:tc>
        <w:tc>
          <w:tcPr>
            <w:tcW w:w="29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BCCF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48540F5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（2025/6擴大，非鱗狀）</w:t>
            </w:r>
          </w:p>
        </w:tc>
      </w:tr>
      <w:tr w:rsidR="0049234F" w:rsidRPr="00C2060D" w14:paraId="062CCADF" w14:textId="77777777" w:rsidTr="00782FDA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682DE" w14:textId="5985C4C9" w:rsidR="00782FDA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 + </w:t>
            </w:r>
            <w:r w:rsidR="00782FDA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lastRenderedPageBreak/>
              <w:t>Carboplatin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 + </w:t>
            </w:r>
            <w:r w:rsidR="00782FDA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Paclitaxel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 </w:t>
            </w:r>
          </w:p>
          <w:p w14:paraId="44C8A332" w14:textId="26A457B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782FDA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鱗狀</w:t>
            </w:r>
            <w:r w:rsidRPr="00782FDA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NSCLC</w:t>
            </w:r>
            <w:r w:rsidRPr="00782FDA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一線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98B1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lastRenderedPageBreak/>
              <w:t>KEYNOTE-407</w:t>
            </w:r>
          </w:p>
          <w:p w14:paraId="34CA71C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lastRenderedPageBreak/>
              <w:t>Phase III  n=559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88413" w14:textId="1EB990E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lastRenderedPageBreak/>
              <w:t xml:space="preserve">Pembrolizumab 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lastRenderedPageBreak/>
              <w:t>Carboplatin</w:t>
            </w:r>
          </w:p>
          <w:p w14:paraId="7ABFB653" w14:textId="6FFD404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Paclitaxel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/nab-PTX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051A7" w14:textId="77777777" w:rsidR="008B0C77" w:rsidRDefault="00106206">
            <w:pPr>
              <w:spacing w:after="40"/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lastRenderedPageBreak/>
              <w:t xml:space="preserve">安慰劑 + </w:t>
            </w:r>
          </w:p>
          <w:p w14:paraId="6B63A741" w14:textId="799225C8" w:rsidR="0049234F" w:rsidRPr="00C2060D" w:rsidRDefault="00782FDA">
            <w:pPr>
              <w:spacing w:after="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lastRenderedPageBreak/>
              <w:t>Carboplatin</w:t>
            </w:r>
          </w:p>
          <w:p w14:paraId="6914613F" w14:textId="18FEB763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Paclitaxel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/nab-PTX</w:t>
            </w:r>
          </w:p>
        </w:tc>
        <w:tc>
          <w:tcPr>
            <w:tcW w:w="3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398C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lastRenderedPageBreak/>
              <w:t>PFS  6.4 vs 4.8個月（HR 0.56, P&lt;0.001）</w:t>
            </w:r>
          </w:p>
          <w:p w14:paraId="2F6A1EC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lastRenderedPageBreak/>
              <w:t>OS   17.1 vs 11.6個月（HR 0.71, P=0.0006）</w:t>
            </w:r>
          </w:p>
          <w:p w14:paraId="152ABEF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57.9% vs 38.4%</w:t>
            </w:r>
          </w:p>
        </w:tc>
        <w:tc>
          <w:tcPr>
            <w:tcW w:w="29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DA07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lastRenderedPageBreak/>
              <w:t>已給付</w:t>
            </w:r>
          </w:p>
          <w:p w14:paraId="6E31C3A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lastRenderedPageBreak/>
              <w:t>（2025/6擴大，鱗狀）</w:t>
            </w:r>
          </w:p>
        </w:tc>
      </w:tr>
      <w:tr w:rsidR="0049234F" w:rsidRPr="00C2060D" w14:paraId="2CCE74B0" w14:textId="77777777" w:rsidTr="00782FDA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E22E2" w14:textId="77777777" w:rsidR="008B0C77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Sotorasib（Lumakras） </w:t>
            </w:r>
          </w:p>
          <w:p w14:paraId="7F6F8CC6" w14:textId="631D5476" w:rsidR="0049234F" w:rsidRPr="008B0C77" w:rsidRDefault="00106206">
            <w:pPr>
              <w:spacing w:after="40"/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</w:pPr>
            <w:r w:rsidRPr="008B0C77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KRAS G12C NSCLC</w:t>
            </w:r>
          </w:p>
          <w:p w14:paraId="757877D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含鉑化療（二線）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B8E3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CodeBreaK 100</w:t>
            </w:r>
          </w:p>
          <w:p w14:paraId="4FAC871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  n=126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99BA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Sotorasib 960mg/日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46F3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—（單臂試驗）</w:t>
            </w:r>
          </w:p>
        </w:tc>
        <w:tc>
          <w:tcPr>
            <w:tcW w:w="3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C052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37.1%</w:t>
            </w:r>
          </w:p>
          <w:p w14:paraId="5DFF418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中位PFS 6.8個月</w:t>
            </w:r>
          </w:p>
          <w:p w14:paraId="24828C8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中位OS 12.5個月（歷史對照 ~8個月）</w:t>
            </w:r>
          </w:p>
        </w:tc>
        <w:tc>
          <w:tcPr>
            <w:tcW w:w="29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5C36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已核准（Lumakras）</w:t>
            </w:r>
          </w:p>
          <w:p w14:paraId="58360E4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健保評估中</w:t>
            </w:r>
          </w:p>
        </w:tc>
      </w:tr>
      <w:tr w:rsidR="0049234F" w:rsidRPr="00C2060D" w14:paraId="32B31772" w14:textId="77777777" w:rsidTr="00782FDA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D21C7" w14:textId="77777777" w:rsidR="0013573B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Adagrasib（Krazati） </w:t>
            </w:r>
          </w:p>
          <w:p w14:paraId="075F54F0" w14:textId="63CF0AC5" w:rsidR="0049234F" w:rsidRPr="0013573B" w:rsidRDefault="00106206">
            <w:pPr>
              <w:spacing w:after="40"/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</w:pPr>
            <w:r w:rsidRPr="0013573B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KRAS G12C NSCLC</w:t>
            </w:r>
          </w:p>
          <w:p w14:paraId="6F4A3C3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含鉑化療（二線）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54A0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KRYSTAL-1</w:t>
            </w:r>
          </w:p>
          <w:p w14:paraId="162590A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  n=116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7D2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Adagrasib 600mg bid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A6A2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—（單臂試驗）</w:t>
            </w:r>
          </w:p>
        </w:tc>
        <w:tc>
          <w:tcPr>
            <w:tcW w:w="3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7FD6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42.9%</w:t>
            </w:r>
          </w:p>
          <w:p w14:paraId="06F1A6C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中位PFS 6.5個月</w:t>
            </w:r>
          </w:p>
          <w:p w14:paraId="7F97B68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顱內反應率 33.3%（有BM者）</w:t>
            </w:r>
          </w:p>
        </w:tc>
        <w:tc>
          <w:tcPr>
            <w:tcW w:w="29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2F0A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已核准（KRAZATI）</w:t>
            </w:r>
          </w:p>
          <w:p w14:paraId="7517F23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健保評估中</w:t>
            </w:r>
          </w:p>
        </w:tc>
      </w:tr>
    </w:tbl>
    <w:p w14:paraId="1B973B92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13D50AA3" w14:textId="77777777" w:rsidR="0049234F" w:rsidRDefault="00106206">
      <w:pPr>
        <w:spacing w:before="400" w:after="120"/>
        <w:rPr>
          <w:rFonts w:ascii="微軟正黑體" w:eastAsia="微軟正黑體" w:hAnsi="微軟正黑體"/>
          <w:b/>
          <w:bCs/>
          <w:color w:val="1E3A5F"/>
          <w:sz w:val="30"/>
          <w:szCs w:val="30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二、乳癌（Breast Cancer）</w:t>
      </w:r>
    </w:p>
    <w:p w14:paraId="53F83C7C" w14:textId="7FE1B7DC" w:rsidR="00F576B7" w:rsidRPr="00F576B7" w:rsidRDefault="00F576B7" w:rsidP="00F576B7">
      <w:pPr>
        <w:spacing w:before="80" w:after="80" w:line="320" w:lineRule="auto"/>
        <w:jc w:val="both"/>
        <w:rPr>
          <w:rFonts w:hint="eastAsia"/>
        </w:rPr>
      </w:pPr>
      <w:r>
        <w:rPr>
          <w:rFonts w:eastAsia="微軟正黑體"/>
          <w:color w:val="000000"/>
        </w:rPr>
        <w:t>依分子分型分為</w:t>
      </w:r>
      <w:r>
        <w:rPr>
          <w:rFonts w:eastAsia="微軟正黑體"/>
          <w:color w:val="000000"/>
        </w:rPr>
        <w:t>Luminal A/B</w:t>
      </w:r>
      <w:r>
        <w:rPr>
          <w:rFonts w:eastAsia="微軟正黑體"/>
          <w:color w:val="000000"/>
        </w:rPr>
        <w:t>（</w:t>
      </w:r>
      <w:r>
        <w:rPr>
          <w:rFonts w:eastAsia="微軟正黑體"/>
          <w:color w:val="000000"/>
        </w:rPr>
        <w:t>HR+/HER2-</w:t>
      </w:r>
      <w:r>
        <w:rPr>
          <w:rFonts w:eastAsia="微軟正黑體"/>
          <w:color w:val="000000"/>
        </w:rPr>
        <w:t>）、</w:t>
      </w:r>
      <w:r>
        <w:rPr>
          <w:rFonts w:eastAsia="微軟正黑體"/>
          <w:color w:val="000000"/>
        </w:rPr>
        <w:t>HER2</w:t>
      </w:r>
      <w:r>
        <w:rPr>
          <w:rFonts w:eastAsia="微軟正黑體"/>
          <w:color w:val="000000"/>
        </w:rPr>
        <w:t>陽性（含</w:t>
      </w:r>
      <w:r>
        <w:rPr>
          <w:rFonts w:eastAsia="微軟正黑體"/>
          <w:color w:val="000000"/>
        </w:rPr>
        <w:t>HR+HER2+</w:t>
      </w:r>
      <w:r>
        <w:rPr>
          <w:rFonts w:eastAsia="微軟正黑體"/>
          <w:color w:val="000000"/>
        </w:rPr>
        <w:t>及</w:t>
      </w:r>
      <w:r>
        <w:rPr>
          <w:rFonts w:eastAsia="微軟正黑體"/>
          <w:color w:val="000000"/>
        </w:rPr>
        <w:t>HR-HER2+</w:t>
      </w:r>
      <w:r>
        <w:rPr>
          <w:rFonts w:eastAsia="微軟正黑體"/>
          <w:color w:val="000000"/>
        </w:rPr>
        <w:t>）及三陰性乳癌（</w:t>
      </w:r>
      <w:r>
        <w:rPr>
          <w:rFonts w:eastAsia="微軟正黑體"/>
          <w:color w:val="000000"/>
        </w:rPr>
        <w:t>TNBC</w:t>
      </w:r>
      <w:r>
        <w:rPr>
          <w:rFonts w:eastAsia="微軟正黑體"/>
          <w:color w:val="000000"/>
        </w:rPr>
        <w:t>）。</w:t>
      </w:r>
    </w:p>
    <w:p w14:paraId="6F05C456" w14:textId="77777777" w:rsidR="0049234F" w:rsidRDefault="00106206">
      <w:pPr>
        <w:spacing w:before="200" w:after="80"/>
        <w:rPr>
          <w:rFonts w:ascii="微軟正黑體" w:eastAsia="微軟正黑體" w:hAnsi="微軟正黑體"/>
          <w:b/>
          <w:bCs/>
          <w:color w:val="2B5F9E"/>
          <w:sz w:val="22"/>
          <w:szCs w:val="22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2.1 HER2 陽性乳癌</w:t>
      </w:r>
    </w:p>
    <w:p w14:paraId="4DA42766" w14:textId="6E57F9A8" w:rsidR="00240C3A" w:rsidRPr="00C2060D" w:rsidRDefault="00240C3A">
      <w:pPr>
        <w:spacing w:before="200" w:after="80"/>
        <w:rPr>
          <w:rFonts w:ascii="微軟正黑體" w:eastAsia="微軟正黑體" w:hAnsi="微軟正黑體" w:hint="eastAsia"/>
        </w:rPr>
      </w:pPr>
      <w:r w:rsidRPr="00240C3A">
        <w:rPr>
          <w:rFonts w:eastAsia="微軟正黑體"/>
          <w:color w:val="000000"/>
        </w:rPr>
        <w:t>HER2</w:t>
      </w:r>
      <w:r w:rsidRPr="00240C3A">
        <w:rPr>
          <w:rFonts w:eastAsia="微軟正黑體"/>
          <w:color w:val="000000"/>
        </w:rPr>
        <w:t>陽性乳癌（</w:t>
      </w:r>
      <w:r w:rsidRPr="00240C3A">
        <w:rPr>
          <w:rFonts w:eastAsia="微軟正黑體"/>
          <w:color w:val="000000"/>
        </w:rPr>
        <w:t>IHC 3+</w:t>
      </w:r>
      <w:r w:rsidRPr="00240C3A">
        <w:rPr>
          <w:rFonts w:eastAsia="微軟正黑體"/>
          <w:color w:val="000000"/>
        </w:rPr>
        <w:t>或</w:t>
      </w:r>
      <w:r w:rsidRPr="00240C3A">
        <w:rPr>
          <w:rFonts w:eastAsia="微軟正黑體"/>
          <w:color w:val="000000"/>
        </w:rPr>
        <w:t>FISH</w:t>
      </w:r>
      <w:r w:rsidRPr="00240C3A">
        <w:rPr>
          <w:rFonts w:eastAsia="微軟正黑體"/>
          <w:color w:val="000000"/>
        </w:rPr>
        <w:t>陽性）佔所有乳癌約</w:t>
      </w:r>
      <w:r w:rsidRPr="00240C3A">
        <w:rPr>
          <w:rFonts w:eastAsia="微軟正黑體"/>
          <w:color w:val="000000"/>
        </w:rPr>
        <w:t>15-20%</w:t>
      </w:r>
      <w:r>
        <w:rPr>
          <w:rFonts w:eastAsia="微軟正黑體" w:hint="eastAsia"/>
          <w:color w:val="000000"/>
        </w:rPr>
        <w:t>。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67F50161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A0F21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33070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63585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CFFA78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8AE8D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D32D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13BF893E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2CFD0" w14:textId="77777777" w:rsidR="0049234F" w:rsidRPr="00857BFE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T-DXd（優赫得） </w:t>
            </w: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HER2+轉移性，二線</w:t>
            </w:r>
          </w:p>
          <w:p w14:paraId="472B35C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T-DM1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AFD9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DESTINY-Breast03</w:t>
            </w:r>
          </w:p>
          <w:p w14:paraId="23A0669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n=524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159E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T-DXd 5.4mg/kg q3w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EF28B" w14:textId="4F2C8E40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T-DM1 3.6mg/kg q3w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EBBA4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29.0 vs 7.2個月（HR 0.30, P&lt;0.001）</w:t>
            </w:r>
          </w:p>
          <w:p w14:paraId="5956125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52.6 vs 42.7個月（HR 0.73）</w:t>
            </w:r>
          </w:p>
          <w:p w14:paraId="560A06D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79.7% vs 34.2%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6512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已給付（2025/2起）</w:t>
            </w:r>
          </w:p>
          <w:p w14:paraId="4253611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HER2+ 最多18療程</w:t>
            </w:r>
          </w:p>
        </w:tc>
      </w:tr>
      <w:tr w:rsidR="0049234F" w:rsidRPr="00C2060D" w14:paraId="4DF7FA9D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B1FC4" w14:textId="77777777" w:rsidR="00BC1309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T-DXd（優赫得） </w:t>
            </w:r>
          </w:p>
          <w:p w14:paraId="3600CE9D" w14:textId="4009C15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早期HER2+，術後輔助</w:t>
            </w:r>
          </w:p>
          <w:p w14:paraId="580334A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T-DM1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6C4E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DESTINY-Breast05</w:t>
            </w:r>
          </w:p>
          <w:p w14:paraId="34BD9A0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EFE8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T-DXd 5.4mg/kg q3w</w:t>
            </w:r>
          </w:p>
          <w:p w14:paraId="64E66B2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（術後有殘存病灶）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C8A1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T-DM1 3.6mg/kg q3w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A598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6A1E9A"/>
                <w:sz w:val="17"/>
                <w:szCs w:val="17"/>
              </w:rPr>
              <w:t>DFS  3年DFS率 92.3% vs 83.5%（HR 0.60, P&lt;0.001）</w:t>
            </w:r>
          </w:p>
          <w:p w14:paraId="4028E98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ILD發生率 9.6% vs 1.6%，需監測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3D24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已給付（部分適應症）</w:t>
            </w:r>
          </w:p>
        </w:tc>
      </w:tr>
      <w:tr w:rsidR="0049234F" w:rsidRPr="00C2060D" w14:paraId="6C85E75D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631A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T-DXd（優赫得） </w:t>
            </w: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HER2-low，HR+轉移性</w:t>
            </w:r>
          </w:p>
          <w:p w14:paraId="2EBC8F1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lastRenderedPageBreak/>
              <w:t>vs. 醫師選擇化療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B408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lastRenderedPageBreak/>
              <w:t>DESTINY-Breast06</w:t>
            </w:r>
          </w:p>
          <w:p w14:paraId="1A7636B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15FE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T-DXd 5.4mg/kg q3w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AAB0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醫師選擇化療（TPC）</w:t>
            </w:r>
          </w:p>
          <w:p w14:paraId="063F668A" w14:textId="7EE954D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</w:t>
            </w:r>
            <w:r w:rsidR="00BC1309" w:rsidRPr="00BC1309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capecitabine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、</w:t>
            </w:r>
            <w:r w:rsidR="00BC1309">
              <w:rPr>
                <w:rFonts w:ascii="微軟正黑體" w:eastAsia="微軟正黑體" w:hAnsi="微軟正黑體" w:hint="eastAsia"/>
                <w:color w:val="222222"/>
                <w:sz w:val="16"/>
                <w:szCs w:val="16"/>
              </w:rPr>
              <w:t>Taxol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等）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D647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13.2 vs 8.1個月（HR 0.62, P&lt;0.001）</w:t>
            </w:r>
          </w:p>
          <w:p w14:paraId="3913389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未達統計顯著（HR 0.84）</w:t>
            </w:r>
          </w:p>
          <w:p w14:paraId="316FB8A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lastRenderedPageBreak/>
              <w:t>ORR  56.5% vs 31.2%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B9B7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lastRenderedPageBreak/>
              <w:t>已給付</w:t>
            </w:r>
          </w:p>
          <w:p w14:paraId="2656D71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HER2-low, HR陰性</w:t>
            </w:r>
          </w:p>
        </w:tc>
      </w:tr>
      <w:tr w:rsidR="0049234F" w:rsidRPr="00C2060D" w14:paraId="7AF42319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9D77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Pertuzumab + Trastuzumab + Docetaxel（雙靶向一線）</w:t>
            </w:r>
          </w:p>
          <w:p w14:paraId="5C9BD3A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Trastuzumab單靶向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3D5A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CLEOPATRA</w:t>
            </w:r>
          </w:p>
          <w:p w14:paraId="50F8710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n=808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D34A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Pertuzumab + Trastuzumab</w:t>
            </w:r>
          </w:p>
          <w:p w14:paraId="1F58B3B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Docetaxel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9C50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Trastuzumab</w:t>
            </w:r>
          </w:p>
          <w:p w14:paraId="3B38EFD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Docetaxel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6EC6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18.7 vs 12.4個月（HR 0.69, P&lt;0.001）</w:t>
            </w:r>
          </w:p>
          <w:p w14:paraId="2BB7A2E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57.1 vs 40.8個月（HR 0.69）</w:t>
            </w:r>
          </w:p>
          <w:p w14:paraId="3EF0507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8年OS率 37.0% vs 23.0%</w:t>
            </w:r>
          </w:p>
          <w:p w14:paraId="244B4D4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80.2% vs 69.3%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F8BA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55FD8C1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（一線及輔助/新輔助）</w:t>
            </w:r>
          </w:p>
        </w:tc>
      </w:tr>
    </w:tbl>
    <w:p w14:paraId="02F360A2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4DCEE5B7" w14:textId="77777777" w:rsidR="0049234F" w:rsidRDefault="00106206">
      <w:pPr>
        <w:spacing w:before="200" w:after="80"/>
        <w:rPr>
          <w:rFonts w:ascii="微軟正黑體" w:eastAsia="微軟正黑體" w:hAnsi="微軟正黑體"/>
          <w:b/>
          <w:bCs/>
          <w:color w:val="2B5F9E"/>
          <w:sz w:val="22"/>
          <w:szCs w:val="22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2.2 HR+/HER2- 乳癌：CDK4/6 抑制劑</w:t>
      </w:r>
    </w:p>
    <w:p w14:paraId="4CCB510E" w14:textId="293F65ED" w:rsidR="002E270F" w:rsidRPr="00C2060D" w:rsidRDefault="002E270F">
      <w:pPr>
        <w:spacing w:before="200" w:after="80"/>
        <w:rPr>
          <w:rFonts w:ascii="微軟正黑體" w:eastAsia="微軟正黑體" w:hAnsi="微軟正黑體" w:hint="eastAsia"/>
        </w:rPr>
      </w:pPr>
      <w:r w:rsidRPr="002E270F">
        <w:rPr>
          <w:rFonts w:eastAsia="微軟正黑體"/>
          <w:color w:val="000000"/>
        </w:rPr>
        <w:t>CDK4/6</w:t>
      </w:r>
      <w:r w:rsidRPr="002E270F">
        <w:rPr>
          <w:rFonts w:eastAsia="微軟正黑體"/>
          <w:color w:val="000000"/>
        </w:rPr>
        <w:t>抑制劑聯合內分泌治療已成為</w:t>
      </w:r>
      <w:r w:rsidRPr="002E270F">
        <w:rPr>
          <w:rFonts w:eastAsia="微軟正黑體"/>
          <w:color w:val="000000"/>
        </w:rPr>
        <w:t>HR+/HER2-</w:t>
      </w:r>
      <w:r w:rsidRPr="002E270F">
        <w:rPr>
          <w:rFonts w:eastAsia="微軟正黑體"/>
          <w:color w:val="000000"/>
        </w:rPr>
        <w:t>晚期乳癌之一線標準治療</w:t>
      </w:r>
      <w:r w:rsidRPr="002E270F">
        <w:rPr>
          <w:rFonts w:eastAsia="微軟正黑體" w:hint="eastAsia"/>
          <w:color w:val="000000"/>
        </w:rPr>
        <w:t>。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1338EAE3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F868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8F336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7365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D35C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85ACC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2F835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590C8312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53A6C" w14:textId="77777777" w:rsidR="00857BFE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Palbociclib（愛乳適） </w:t>
            </w:r>
          </w:p>
          <w:p w14:paraId="0997D3F2" w14:textId="05640C37" w:rsidR="0049234F" w:rsidRPr="00857BFE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二線聯合Fulvestrant</w:t>
            </w:r>
          </w:p>
          <w:p w14:paraId="20AA975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Fulvestrant單藥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D002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PALOMA-3</w:t>
            </w:r>
          </w:p>
          <w:p w14:paraId="157BDBA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n=521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AC5A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Palbociclib + Fulvestrant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3317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Fulvestrant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E88D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9.5 vs 4.6個月（HR 0.46, P&lt;0.001）</w:t>
            </w:r>
          </w:p>
          <w:p w14:paraId="29A4605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34.9 vs 28.0個月（HR 0.81, P=0.09，不顯著）</w:t>
            </w:r>
          </w:p>
          <w:p w14:paraId="220FF6D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24.6% vs 10.9%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C7F4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182B87F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HR+/HER2- 轉移性</w:t>
            </w:r>
          </w:p>
        </w:tc>
      </w:tr>
      <w:tr w:rsidR="0049234F" w:rsidRPr="00C2060D" w14:paraId="33C8082C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D300A" w14:textId="16BE6A99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Ribociclib（</w:t>
            </w:r>
            <w:r w:rsidR="00595168" w:rsidRPr="00595168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擊癌利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） </w:t>
            </w: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一線（停經前）</w:t>
            </w:r>
          </w:p>
          <w:p w14:paraId="24F8DC0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內分泌治療單藥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ED88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MONALEESA-7</w:t>
            </w:r>
          </w:p>
          <w:p w14:paraId="0C66A6C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n=672（停經前）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3FCD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Ribociclib + NSAI/Tamoxifen</w:t>
            </w:r>
          </w:p>
          <w:p w14:paraId="063890B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OFS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567A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NSAI/Tamoxifen</w:t>
            </w:r>
          </w:p>
          <w:p w14:paraId="2CF5724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OFS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E62D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23.8 vs 13.0個月（HR 0.55, P&lt;0.001）</w:t>
            </w:r>
          </w:p>
          <w:p w14:paraId="1191AEE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58.7 vs 48.0個月（HR 0.76, P=0.0096）</w:t>
            </w:r>
          </w:p>
          <w:p w14:paraId="1CF0095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51% vs 36%（可測量病灶）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25F1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5327AA9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HR+/HER2- 轉移性</w:t>
            </w:r>
          </w:p>
        </w:tc>
      </w:tr>
      <w:tr w:rsidR="0049234F" w:rsidRPr="00C2060D" w14:paraId="73F7A238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BDAC4" w14:textId="77777777" w:rsidR="00857BFE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Abemaciclib（</w:t>
            </w:r>
            <w:r w:rsidR="00595168" w:rsidRPr="00595168">
              <w:rPr>
                <w:rFonts w:ascii="微軟正黑體" w:eastAsia="微軟正黑體" w:hAnsi="微軟正黑體" w:hint="eastAsia"/>
                <w:b/>
                <w:bCs/>
                <w:color w:val="1E3A5F"/>
                <w:sz w:val="17"/>
                <w:szCs w:val="17"/>
              </w:rPr>
              <w:t>捷癌寧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） </w:t>
            </w:r>
          </w:p>
          <w:p w14:paraId="1BEE44FF" w14:textId="14D4BE0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高風險早期輔助</w:t>
            </w:r>
          </w:p>
          <w:p w14:paraId="1ED9A94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內分泌治療單藥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FDCF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monarchE</w:t>
            </w:r>
          </w:p>
          <w:p w14:paraId="700BBC5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n=5,637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9696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Abemaciclib + 內分泌治療</w:t>
            </w:r>
          </w:p>
          <w:p w14:paraId="352E72C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（AI或Tamoxifen）× 2年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10E8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內分泌治療單藥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743E9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6A1E9A"/>
                <w:sz w:val="17"/>
                <w:szCs w:val="17"/>
              </w:rPr>
              <w:t>iDFS  4年iDFS率 84.4% vs 79.4%（HR 0.68, P&lt;0.0001）</w:t>
            </w:r>
          </w:p>
          <w:p w14:paraId="719506A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6A1E9A"/>
                <w:sz w:val="17"/>
                <w:szCs w:val="17"/>
              </w:rPr>
              <w:t>DFS   5年DRFS率 87.8% vs 84.2%（HR 0.68）</w:t>
            </w:r>
          </w:p>
          <w:p w14:paraId="7D2D19A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高風險（</w:t>
            </w:r>
            <w:r w:rsidRPr="00C2060D">
              <w:rPr>
                <w:rFonts w:ascii="Cambria Math" w:eastAsia="微軟正黑體" w:hAnsi="Cambria Math" w:cs="Cambria Math"/>
                <w:color w:val="888888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4個淋巴結或1-3個+高Ki67/大腫瘤）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EAFA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已給付（轉移性）</w:t>
            </w:r>
          </w:p>
          <w:p w14:paraId="6DE48CB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輔助療法健保評估中</w:t>
            </w:r>
          </w:p>
        </w:tc>
      </w:tr>
    </w:tbl>
    <w:p w14:paraId="7E1738D9" w14:textId="4F12578D" w:rsidR="0049234F" w:rsidRPr="002E270F" w:rsidRDefault="00595168">
      <w:pPr>
        <w:spacing w:before="60" w:after="60"/>
        <w:rPr>
          <w:rFonts w:ascii="微軟正黑體" w:eastAsia="微軟正黑體" w:hAnsi="微軟正黑體"/>
          <w:i/>
          <w:iCs/>
        </w:rPr>
      </w:pPr>
      <w:r w:rsidRPr="002E270F">
        <w:rPr>
          <w:rFonts w:ascii="微軟正黑體" w:eastAsia="微軟正黑體" w:hAnsi="微軟正黑體" w:hint="eastAsia"/>
          <w:i/>
          <w:iCs/>
        </w:rPr>
        <w:t>NASI</w:t>
      </w:r>
      <w:r w:rsidR="00857BFE" w:rsidRPr="002E270F">
        <w:rPr>
          <w:rFonts w:ascii="微軟正黑體" w:eastAsia="微軟正黑體" w:hAnsi="微軟正黑體" w:hint="eastAsia"/>
          <w:i/>
          <w:iCs/>
        </w:rPr>
        <w:t xml:space="preserve"> (AI)</w:t>
      </w:r>
      <w:r w:rsidRPr="002E270F">
        <w:rPr>
          <w:rFonts w:ascii="微軟正黑體" w:eastAsia="微軟正黑體" w:hAnsi="微軟正黑體" w:hint="eastAsia"/>
          <w:i/>
          <w:iCs/>
        </w:rPr>
        <w:t xml:space="preserve">, </w:t>
      </w:r>
      <w:r w:rsidRPr="002E270F">
        <w:rPr>
          <w:rFonts w:ascii="微軟正黑體" w:eastAsia="微軟正黑體" w:hAnsi="微軟正黑體"/>
          <w:i/>
          <w:iCs/>
        </w:rPr>
        <w:t>Anastrozole</w:t>
      </w:r>
      <w:r w:rsidR="00857BFE" w:rsidRPr="002E270F">
        <w:rPr>
          <w:rFonts w:ascii="微軟正黑體" w:eastAsia="微軟正黑體" w:hAnsi="微軟正黑體" w:hint="eastAsia"/>
          <w:i/>
          <w:iCs/>
        </w:rPr>
        <w:t xml:space="preserve">, </w:t>
      </w:r>
      <w:r w:rsidR="00857BFE" w:rsidRPr="002E270F">
        <w:rPr>
          <w:rFonts w:ascii="微軟正黑體" w:eastAsia="微軟正黑體" w:hAnsi="微軟正黑體"/>
          <w:i/>
          <w:iCs/>
        </w:rPr>
        <w:t>Exemestane</w:t>
      </w:r>
      <w:r w:rsidRPr="002E270F">
        <w:rPr>
          <w:rFonts w:ascii="微軟正黑體" w:eastAsia="微軟正黑體" w:hAnsi="微軟正黑體"/>
          <w:i/>
          <w:iCs/>
        </w:rPr>
        <w:t>或 Letrozole</w:t>
      </w:r>
      <w:r w:rsidRPr="002E270F">
        <w:rPr>
          <w:rFonts w:ascii="微軟正黑體" w:eastAsia="微軟正黑體" w:hAnsi="微軟正黑體" w:hint="eastAsia"/>
          <w:i/>
          <w:iCs/>
        </w:rPr>
        <w:t xml:space="preserve">; OFS, </w:t>
      </w:r>
      <w:r w:rsidRPr="002E270F">
        <w:rPr>
          <w:rFonts w:ascii="微軟正黑體" w:eastAsia="微軟正黑體" w:hAnsi="微軟正黑體"/>
          <w:i/>
          <w:iCs/>
        </w:rPr>
        <w:t>Zoladex</w:t>
      </w:r>
    </w:p>
    <w:p w14:paraId="5BECDC6F" w14:textId="77777777" w:rsidR="0049234F" w:rsidRDefault="00106206">
      <w:pPr>
        <w:spacing w:before="200" w:after="80"/>
        <w:rPr>
          <w:rFonts w:ascii="微軟正黑體" w:eastAsia="微軟正黑體" w:hAnsi="微軟正黑體"/>
          <w:b/>
          <w:bCs/>
          <w:color w:val="2B5F9E"/>
          <w:sz w:val="22"/>
          <w:szCs w:val="22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2.3 三陰性乳癌（TNBC）</w:t>
      </w:r>
    </w:p>
    <w:p w14:paraId="73326110" w14:textId="5CBA80FC" w:rsidR="005B4CEE" w:rsidRDefault="005B4CEE" w:rsidP="005B4CEE">
      <w:pPr>
        <w:spacing w:before="80" w:after="80" w:line="320" w:lineRule="auto"/>
        <w:jc w:val="both"/>
      </w:pPr>
      <w:r w:rsidRPr="005B4CEE">
        <w:rPr>
          <w:rFonts w:eastAsia="微軟正黑體"/>
          <w:color w:val="000000"/>
        </w:rPr>
        <w:t>TNBC</w:t>
      </w:r>
      <w:r w:rsidRPr="005B4CEE">
        <w:rPr>
          <w:rFonts w:eastAsia="微軟正黑體"/>
          <w:color w:val="000000"/>
        </w:rPr>
        <w:t>佔乳癌約</w:t>
      </w:r>
      <w:r w:rsidRPr="005B4CEE">
        <w:rPr>
          <w:rFonts w:eastAsia="微軟正黑體"/>
          <w:color w:val="000000"/>
        </w:rPr>
        <w:t>15%</w:t>
      </w:r>
      <w:r w:rsidRPr="005B4CEE">
        <w:rPr>
          <w:rFonts w:eastAsia="微軟正黑體"/>
          <w:color w:val="000000"/>
        </w:rPr>
        <w:t>，預後較差，近年免疫療法、</w:t>
      </w:r>
      <w:r w:rsidRPr="005B4CEE">
        <w:rPr>
          <w:rFonts w:eastAsia="微軟正黑體"/>
          <w:color w:val="000000"/>
        </w:rPr>
        <w:t>ADC</w:t>
      </w:r>
      <w:r w:rsidRPr="005B4CEE">
        <w:rPr>
          <w:rFonts w:eastAsia="微軟正黑體"/>
          <w:color w:val="000000"/>
        </w:rPr>
        <w:t>及</w:t>
      </w:r>
      <w:r w:rsidRPr="005B4CEE">
        <w:rPr>
          <w:rFonts w:eastAsia="微軟正黑體"/>
          <w:color w:val="000000"/>
        </w:rPr>
        <w:t>PARP</w:t>
      </w:r>
      <w:r w:rsidRPr="005B4CEE">
        <w:rPr>
          <w:rFonts w:eastAsia="微軟正黑體"/>
          <w:color w:val="000000"/>
        </w:rPr>
        <w:t>抑制劑為</w:t>
      </w:r>
      <w:r w:rsidRPr="005B4CEE">
        <w:rPr>
          <w:rFonts w:eastAsia="微軟正黑體"/>
          <w:color w:val="000000"/>
        </w:rPr>
        <w:t>TNBC</w:t>
      </w:r>
      <w:r w:rsidRPr="005B4CEE">
        <w:rPr>
          <w:rFonts w:eastAsia="微軟正黑體"/>
          <w:color w:val="000000"/>
        </w:rPr>
        <w:t>帶來新</w:t>
      </w:r>
      <w:r w:rsidR="00F31D46">
        <w:rPr>
          <w:rFonts w:eastAsia="微軟正黑體" w:hint="eastAsia"/>
          <w:color w:val="000000"/>
        </w:rPr>
        <w:t>選擇</w:t>
      </w:r>
      <w:r w:rsidRPr="005B4CEE">
        <w:rPr>
          <w:rFonts w:eastAsia="微軟正黑體"/>
          <w:color w:val="000000"/>
        </w:rPr>
        <w:t>。</w:t>
      </w:r>
    </w:p>
    <w:p w14:paraId="0A2CC947" w14:textId="77777777" w:rsidR="005B4CEE" w:rsidRPr="005B4CEE" w:rsidRDefault="005B4CEE">
      <w:pPr>
        <w:spacing w:before="200" w:after="80"/>
        <w:rPr>
          <w:rFonts w:ascii="微軟正黑體" w:eastAsia="微軟正黑體" w:hAnsi="微軟正黑體" w:hint="eastAsia"/>
        </w:rPr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1355"/>
        <w:gridCol w:w="2538"/>
        <w:gridCol w:w="3195"/>
        <w:gridCol w:w="3969"/>
        <w:gridCol w:w="2499"/>
      </w:tblGrid>
      <w:tr w:rsidR="00E57D95" w:rsidRPr="00C2060D" w14:paraId="14AB6EEB" w14:textId="77777777" w:rsidTr="00904B96">
        <w:trPr>
          <w:tblHeader/>
        </w:trPr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1750D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lastRenderedPageBreak/>
              <w:t>藥物</w:t>
            </w:r>
          </w:p>
        </w:tc>
        <w:tc>
          <w:tcPr>
            <w:tcW w:w="13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44EB0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B7D0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3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8F74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3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3F275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4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92FC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E57D95" w:rsidRPr="00C2060D" w14:paraId="45C97CD0" w14:textId="77777777" w:rsidTr="00904B96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3772C" w14:textId="77777777" w:rsidR="00857BFE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Pembrolizumab（吉舒達） </w:t>
            </w:r>
          </w:p>
          <w:p w14:paraId="0FCADDA1" w14:textId="7095C495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早期TNBC，新輔助+輔助</w:t>
            </w:r>
          </w:p>
          <w:p w14:paraId="74A51C1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化療單藥</w:t>
            </w:r>
          </w:p>
        </w:tc>
        <w:tc>
          <w:tcPr>
            <w:tcW w:w="13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282F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KEYNOTE-522</w:t>
            </w:r>
          </w:p>
          <w:p w14:paraId="15D6AF4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n=1,174</w:t>
            </w:r>
          </w:p>
        </w:tc>
        <w:tc>
          <w:tcPr>
            <w:tcW w:w="2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63EF5" w14:textId="77777777" w:rsidR="009D2284" w:rsidRDefault="00106206">
            <w:pPr>
              <w:spacing w:after="40"/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+ 化療（新輔助），</w:t>
            </w:r>
          </w:p>
          <w:p w14:paraId="12731118" w14:textId="20C26EED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後Pembrolizumab（輔助）</w:t>
            </w:r>
          </w:p>
        </w:tc>
        <w:tc>
          <w:tcPr>
            <w:tcW w:w="3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8A696" w14:textId="77777777" w:rsidR="009D2284" w:rsidRDefault="00106206">
            <w:pPr>
              <w:spacing w:after="40"/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化療（新輔助），</w:t>
            </w:r>
          </w:p>
          <w:p w14:paraId="2F666168" w14:textId="40F0D2ED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後安慰劑（輔助）</w:t>
            </w:r>
          </w:p>
        </w:tc>
        <w:tc>
          <w:tcPr>
            <w:tcW w:w="3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3A5B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006060"/>
                <w:sz w:val="17"/>
                <w:szCs w:val="17"/>
              </w:rPr>
              <w:t>pCR  64.8% vs 51.2%（P&lt;0.001）</w:t>
            </w:r>
          </w:p>
          <w:p w14:paraId="57E9AD5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EFS  5年EFS率 81.3% vs 72.3%（HR 0.63）</w:t>
            </w:r>
          </w:p>
          <w:p w14:paraId="3AAB6AC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5年OS率 86.6% vs 81.7%（HR 0.66）</w:t>
            </w:r>
          </w:p>
        </w:tc>
        <w:tc>
          <w:tcPr>
            <w:tcW w:w="24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C000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已給付（2025/6起）</w:t>
            </w:r>
          </w:p>
          <w:p w14:paraId="7C0ACF8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II–IIIb期 早期TNBC</w:t>
            </w:r>
          </w:p>
        </w:tc>
      </w:tr>
      <w:tr w:rsidR="00E57D95" w:rsidRPr="00C2060D" w14:paraId="34AFA37F" w14:textId="77777777" w:rsidTr="00904B96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581164" w14:textId="77777777" w:rsidR="00857BFE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Sacituzumab Govitecan （Trodelvy）</w:t>
            </w:r>
          </w:p>
          <w:p w14:paraId="5DC605B6" w14:textId="385AF439" w:rsidR="0049234F" w:rsidRPr="00857BFE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57BFE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轉移性TNBC</w:t>
            </w:r>
          </w:p>
          <w:p w14:paraId="10D6024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醫師選擇化療</w:t>
            </w:r>
          </w:p>
        </w:tc>
        <w:tc>
          <w:tcPr>
            <w:tcW w:w="13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1BAC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ASCENT</w:t>
            </w:r>
          </w:p>
          <w:p w14:paraId="12082AF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n=529</w:t>
            </w:r>
          </w:p>
        </w:tc>
        <w:tc>
          <w:tcPr>
            <w:tcW w:w="2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2EFF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Sacituzumab Govitecan</w:t>
            </w:r>
          </w:p>
          <w:p w14:paraId="602C533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10mg/kg D1,8 q3w</w:t>
            </w:r>
          </w:p>
        </w:tc>
        <w:tc>
          <w:tcPr>
            <w:tcW w:w="3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0759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醫師選擇化療（TPC）</w:t>
            </w:r>
          </w:p>
          <w:p w14:paraId="622CCBB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（Eribulin/Vinorelbine/Capecitabine/Gemcitabine）</w:t>
            </w:r>
          </w:p>
        </w:tc>
        <w:tc>
          <w:tcPr>
            <w:tcW w:w="3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8F465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5.6 vs 1.7個月（HR 0.41, P&lt;0.001）</w:t>
            </w:r>
          </w:p>
          <w:p w14:paraId="7289D61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12.1 vs 6.7個月（HR 0.48, P&lt;0.001）</w:t>
            </w:r>
          </w:p>
          <w:p w14:paraId="2CE7E90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35% vs 5%</w:t>
            </w:r>
          </w:p>
        </w:tc>
        <w:tc>
          <w:tcPr>
            <w:tcW w:w="24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E3B14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未上市</w:t>
            </w:r>
          </w:p>
          <w:p w14:paraId="55157ED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（尚待TFDA申請）</w:t>
            </w:r>
          </w:p>
        </w:tc>
      </w:tr>
      <w:tr w:rsidR="00E57D95" w:rsidRPr="00C2060D" w14:paraId="5D8D4CD9" w14:textId="77777777" w:rsidTr="00904B96">
        <w:tc>
          <w:tcPr>
            <w:tcW w:w="18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E120B" w14:textId="77777777" w:rsidR="00E57D95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Olaparib（</w:t>
            </w:r>
            <w:r w:rsidR="00E57D95">
              <w:rPr>
                <w:rFonts w:ascii="微軟正黑體" w:eastAsia="微軟正黑體" w:hAnsi="微軟正黑體" w:hint="eastAsia"/>
                <w:b/>
                <w:bCs/>
                <w:color w:val="1E3A5F"/>
                <w:sz w:val="17"/>
                <w:szCs w:val="17"/>
              </w:rPr>
              <w:t>令癌莎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） </w:t>
            </w:r>
          </w:p>
          <w:p w14:paraId="51200B1D" w14:textId="6FB7C6AF" w:rsidR="0049234F" w:rsidRPr="00E57D95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E57D95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gBRCA突變HER2陰性</w:t>
            </w:r>
          </w:p>
          <w:p w14:paraId="5557386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醫師選擇化療</w:t>
            </w:r>
          </w:p>
        </w:tc>
        <w:tc>
          <w:tcPr>
            <w:tcW w:w="13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C356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OlympiAD</w:t>
            </w:r>
          </w:p>
          <w:p w14:paraId="6B3912F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n=302</w:t>
            </w:r>
          </w:p>
        </w:tc>
        <w:tc>
          <w:tcPr>
            <w:tcW w:w="2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052E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Olaparib 300mg bid</w:t>
            </w:r>
          </w:p>
        </w:tc>
        <w:tc>
          <w:tcPr>
            <w:tcW w:w="31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03CE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醫師選擇化療（TPC）</w:t>
            </w:r>
          </w:p>
          <w:p w14:paraId="68ADF988" w14:textId="43C6B27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</w:t>
            </w:r>
            <w:r w:rsidR="00835C2C" w:rsidRPr="00BC1309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capecitabine</w:t>
            </w:r>
            <w:r w:rsidR="00835C2C"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 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/Eribulin/Vinorelbine）</w:t>
            </w:r>
          </w:p>
        </w:tc>
        <w:tc>
          <w:tcPr>
            <w:tcW w:w="3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AC16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7.0 vs 4.2個月（HR 0.58, P&lt;0.001）</w:t>
            </w:r>
          </w:p>
          <w:p w14:paraId="4FEA74F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19.3 vs 17.1個月（HR 0.90，不顯著）</w:t>
            </w:r>
          </w:p>
          <w:p w14:paraId="70952A5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59.9% vs 28.8%</w:t>
            </w:r>
          </w:p>
        </w:tc>
        <w:tc>
          <w:tcPr>
            <w:tcW w:w="24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7832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已給付（2024擴大）</w:t>
            </w:r>
          </w:p>
          <w:p w14:paraId="5ABE9CA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gBRCA突變，HER2陰性</w:t>
            </w:r>
          </w:p>
        </w:tc>
      </w:tr>
    </w:tbl>
    <w:p w14:paraId="10C9FCEC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2FF8A647" w14:textId="77777777" w:rsidR="0049234F" w:rsidRPr="00C2060D" w:rsidRDefault="00106206">
      <w:pPr>
        <w:spacing w:before="400" w:after="12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三、大腸直腸癌（Colorectal Cancer）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4A832745" w14:textId="77777777" w:rsidTr="00874E1D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FC2A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AE70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E6657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8ED2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F9B74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BB59D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394AAE1F" w14:textId="77777777" w:rsidTr="00874E1D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BF513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Panitumumab（維必施） + mFOLFOX6 </w:t>
            </w:r>
          </w:p>
          <w:p w14:paraId="248656BD" w14:textId="71A365F9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</w:t>
            </w:r>
          </w:p>
          <w:p w14:paraId="50BA4DE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左側 vs. Bevacizumab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A739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PARADIGM</w:t>
            </w:r>
          </w:p>
          <w:p w14:paraId="4140A92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n=823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D623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Panitumumab + mFOLFOX6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8B3BF" w14:textId="3E26CD6B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Bevacizumab + mFOLFOX6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597B6" w14:textId="4DEBBA07" w:rsidR="00835C2C" w:rsidRPr="00835C2C" w:rsidRDefault="00835C2C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13.1 vs 13.7個月（左側，HR 0.96，無差異）</w:t>
            </w:r>
          </w:p>
          <w:p w14:paraId="3EB46148" w14:textId="1EC383D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37.9 vs 33.0個月（HR 0.84, P=0.031）（左側腫瘤）</w:t>
            </w:r>
          </w:p>
          <w:p w14:paraId="39E5379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80.2% vs 68.6%（左側）</w:t>
            </w:r>
          </w:p>
          <w:p w14:paraId="2991A8F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右側腫瘤Bevacizumab仍為優選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CE0A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0D13525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RAS野生型一線</w:t>
            </w:r>
          </w:p>
        </w:tc>
      </w:tr>
      <w:tr w:rsidR="0049234F" w:rsidRPr="00C2060D" w14:paraId="024B0ACF" w14:textId="77777777" w:rsidTr="00874E1D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001CF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Pembrolizumab（吉舒達）</w:t>
            </w:r>
          </w:p>
          <w:p w14:paraId="01069EED" w14:textId="284597DF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MSI-H/dMMR 一線</w:t>
            </w:r>
          </w:p>
          <w:p w14:paraId="760B9E6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化療±標靶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880A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KEYNOTE-177</w:t>
            </w:r>
          </w:p>
          <w:p w14:paraId="44FC64B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n=307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176D1" w14:textId="0A6DAAB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200mg q3w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2837E" w14:textId="7524C79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</w:t>
            </w:r>
          </w:p>
          <w:p w14:paraId="029B681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（mFOLFOX6或FOLFIRI ± Bev/Cetux）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61DB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16.5 vs 8.2個月（HR 0.60, P&lt;0.001）</w:t>
            </w:r>
          </w:p>
          <w:p w14:paraId="62DFC98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未達統計顯著（HR 0.74，60%交叉至Pembro）</w:t>
            </w:r>
          </w:p>
          <w:p w14:paraId="3E4255A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43.8% vs 33.1%</w:t>
            </w:r>
          </w:p>
          <w:p w14:paraId="11DC777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5年PFS率 34.2% vs 14.4%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069A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已給付（2025/6起）</w:t>
            </w:r>
          </w:p>
          <w:p w14:paraId="2942C9F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MSI-H/dMMR 轉移性CRC一線</w:t>
            </w:r>
          </w:p>
        </w:tc>
      </w:tr>
      <w:tr w:rsidR="0049234F" w:rsidRPr="00C2060D" w14:paraId="7074F917" w14:textId="77777777" w:rsidTr="00874E1D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DDDDC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Sotorasib + Panitumumab </w:t>
            </w:r>
          </w:p>
          <w:p w14:paraId="13EA6744" w14:textId="1F0A077C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lastRenderedPageBreak/>
              <w:t>KRAS G12C CRC 三線</w:t>
            </w:r>
          </w:p>
          <w:p w14:paraId="22885AC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醫師選擇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00C5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lastRenderedPageBreak/>
              <w:t>CodeBreaK 300</w:t>
            </w:r>
          </w:p>
          <w:p w14:paraId="56B6435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n=160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F09B2" w14:textId="3B20A122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Sotorasib 960mg/日</w:t>
            </w:r>
          </w:p>
          <w:p w14:paraId="37C3D35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Panitumumab q2w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E00AE" w14:textId="6785892D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醫師選擇（TPC）</w:t>
            </w:r>
          </w:p>
          <w:p w14:paraId="059CE29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（Trif/Bev 或 Cetuximab 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lastRenderedPageBreak/>
              <w:t>mono）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6F891" w14:textId="22945AF2" w:rsidR="00835C2C" w:rsidRPr="00835C2C" w:rsidRDefault="00835C2C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lastRenderedPageBreak/>
              <w:t>PFS  5.6 vs 2.2個月（HR 0.49, P&lt;0.001）</w:t>
            </w:r>
          </w:p>
          <w:p w14:paraId="0429C790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18.8 vs 14.4個月（HR 0.87，不顯著）</w:t>
            </w:r>
          </w:p>
          <w:p w14:paraId="3B6B288B" w14:textId="257C030E" w:rsidR="008B7424" w:rsidRPr="00C2060D" w:rsidRDefault="008B7424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lastRenderedPageBreak/>
              <w:t>ORR  26.4% vs 0.3%（HR for ORR P&lt;0.001）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F298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lastRenderedPageBreak/>
              <w:t>未上市</w:t>
            </w:r>
          </w:p>
          <w:p w14:paraId="0FE8C90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FDA 2025/1批准</w:t>
            </w:r>
          </w:p>
        </w:tc>
      </w:tr>
      <w:tr w:rsidR="0049234F" w:rsidRPr="00C2060D" w14:paraId="1F10F6E0" w14:textId="77777777" w:rsidTr="00874E1D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C394A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Adagrasib + Cetuximab</w:t>
            </w: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 xml:space="preserve"> </w:t>
            </w:r>
          </w:p>
          <w:p w14:paraId="5284E89B" w14:textId="4E4E18DA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KRAS G12C CRC 二線以上</w:t>
            </w:r>
          </w:p>
          <w:p w14:paraId="4FDC68E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Adagrasib單藥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0997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KRYSTAL-1</w:t>
            </w:r>
          </w:p>
          <w:p w14:paraId="72FD461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I/II  n=94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DD89B" w14:textId="7B26B1B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Adagrasib 600mg bid</w:t>
            </w:r>
          </w:p>
          <w:p w14:paraId="7BCB5A1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Cetuximab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B20A2" w14:textId="005BAB2F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Adagrasib 600mg bid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154AF" w14:textId="28FACE59" w:rsidR="00835C2C" w:rsidRPr="00835C2C" w:rsidRDefault="00835C2C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6.9 vs 4.1個月</w:t>
            </w:r>
          </w:p>
          <w:p w14:paraId="2D079938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15.9 vs 10.1個月</w:t>
            </w:r>
          </w:p>
          <w:p w14:paraId="178DD44F" w14:textId="77777777" w:rsidR="008B7424" w:rsidRPr="00C2060D" w:rsidRDefault="008B7424" w:rsidP="008B7424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34% vs 17.3%（單藥歷史）</w:t>
            </w:r>
          </w:p>
          <w:p w14:paraId="1F6FBF64" w14:textId="77777777" w:rsidR="008B7424" w:rsidRPr="00C2060D" w:rsidRDefault="008B7424">
            <w:pPr>
              <w:spacing w:after="36"/>
              <w:rPr>
                <w:rFonts w:ascii="微軟正黑體" w:eastAsia="微軟正黑體" w:hAnsi="微軟正黑體"/>
              </w:rPr>
            </w:pP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E1D99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未上市</w:t>
            </w:r>
          </w:p>
          <w:p w14:paraId="419227E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FDA 2024/6批准</w:t>
            </w:r>
          </w:p>
        </w:tc>
      </w:tr>
      <w:tr w:rsidR="0049234F" w:rsidRPr="00C2060D" w14:paraId="1961064B" w14:textId="77777777" w:rsidTr="00874E1D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F981B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Encorafenib（Braftovi） + Cetuximab </w:t>
            </w:r>
          </w:p>
          <w:p w14:paraId="68DBA6D2" w14:textId="0B7915A2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BRAF V600E CRC 二線</w:t>
            </w:r>
          </w:p>
          <w:p w14:paraId="4D9BB00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C483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BEACON-CRC</w:t>
            </w:r>
          </w:p>
          <w:p w14:paraId="1A2C549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n=665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1AADE" w14:textId="323CBD7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Encorafenib + Cetuximab</w:t>
            </w:r>
          </w:p>
          <w:p w14:paraId="2C24D7B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（或+Binimetinib三聯）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9B2D0" w14:textId="7B54927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</w:t>
            </w:r>
          </w:p>
          <w:p w14:paraId="636D9E5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（Iri+Cetux 或 FOLFIRI+Cetux）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500A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4.2 vs 1.5個月（HR 0.40）</w:t>
            </w:r>
          </w:p>
          <w:p w14:paraId="0E24C690" w14:textId="77777777" w:rsidR="00835C2C" w:rsidRDefault="00835C2C">
            <w:pPr>
              <w:spacing w:after="36"/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9.3 vs 5.9個月（HR 0.61, P&lt;0.001）</w:t>
            </w:r>
          </w:p>
          <w:p w14:paraId="6E47B274" w14:textId="7DB5D537" w:rsidR="008B7424" w:rsidRPr="008131E3" w:rsidRDefault="008B7424">
            <w:pPr>
              <w:spacing w:after="36"/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26.8% vs 1.9%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6028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已核准（Braftovi）</w:t>
            </w:r>
          </w:p>
          <w:p w14:paraId="48EBCE9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健保評估中</w:t>
            </w:r>
          </w:p>
        </w:tc>
      </w:tr>
    </w:tbl>
    <w:p w14:paraId="3A3B2EC2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0B7D9535" w14:textId="77777777" w:rsidR="0049234F" w:rsidRPr="00C2060D" w:rsidRDefault="00106206">
      <w:pPr>
        <w:spacing w:before="400" w:after="12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四、胃癌（Gastric Cancer）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237"/>
        <w:gridCol w:w="2641"/>
      </w:tblGrid>
      <w:tr w:rsidR="0049234F" w:rsidRPr="00C2060D" w14:paraId="6F5FF63E" w14:textId="77777777" w:rsidTr="00835C2C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1C5BA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B689A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8DBDA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6EFFF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1CD27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6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7F78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7910AC22" w14:textId="77777777" w:rsidTr="00835C2C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765ED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Trastuzumab（賀癌平） + 化療 </w:t>
            </w:r>
          </w:p>
          <w:p w14:paraId="4F76A08F" w14:textId="0B63F194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HER2+ 一線</w:t>
            </w:r>
          </w:p>
          <w:p w14:paraId="14FA677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1029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ToGA</w:t>
            </w:r>
          </w:p>
          <w:p w14:paraId="55AC84E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n=594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1F323" w14:textId="3CBF210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Trastuzumab + </w:t>
            </w:r>
            <w:r w:rsidR="00835C2C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Cisplatin</w:t>
            </w:r>
          </w:p>
          <w:p w14:paraId="61195763" w14:textId="697F33A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+ 5-FU/</w:t>
            </w:r>
            <w:r w:rsidR="00835C2C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capecitabine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35348" w14:textId="0050CD12" w:rsidR="0049234F" w:rsidRPr="00C2060D" w:rsidRDefault="00835C2C">
            <w:pPr>
              <w:spacing w:after="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Cisplatin</w:t>
            </w:r>
            <w:r w:rsidR="00106206"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 + 5-FU/</w:t>
            </w:r>
            <w:r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capecitabine</w:t>
            </w:r>
          </w:p>
        </w:tc>
        <w:tc>
          <w:tcPr>
            <w:tcW w:w="4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1C07B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6.7 vs 5.5個月（HR 0.71）</w:t>
            </w:r>
          </w:p>
          <w:p w14:paraId="72AEE64E" w14:textId="13D7B0A1" w:rsidR="008131E3" w:rsidRPr="00C2060D" w:rsidRDefault="008131E3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13.8 vs 11.1個月（HR 0.74, P=0.0046）</w:t>
            </w:r>
          </w:p>
          <w:p w14:paraId="1102168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47% vs 35%</w:t>
            </w:r>
          </w:p>
        </w:tc>
        <w:tc>
          <w:tcPr>
            <w:tcW w:w="26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7562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382185A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HER2 IHC3+或FISH+，一線</w:t>
            </w:r>
          </w:p>
        </w:tc>
      </w:tr>
      <w:tr w:rsidR="0049234F" w:rsidRPr="00C2060D" w14:paraId="571BB3B2" w14:textId="77777777" w:rsidTr="00835C2C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21974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Nivolumab（保疾伏） + 化療 </w:t>
            </w:r>
          </w:p>
          <w:p w14:paraId="0FA8801A" w14:textId="22921D7D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HER2陰性 一線</w:t>
            </w:r>
          </w:p>
          <w:p w14:paraId="4E4720B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ED9F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CheckMate 649</w:t>
            </w:r>
          </w:p>
          <w:p w14:paraId="49BC5EC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n=1,581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3E19C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Nivolumab + mFOLFOX6</w:t>
            </w:r>
          </w:p>
          <w:p w14:paraId="516E85C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或 XELOX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44CC4" w14:textId="176358B3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mFOLFOX6 或 XELOX</w:t>
            </w:r>
          </w:p>
          <w:p w14:paraId="4991EBD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（化療單藥）</w:t>
            </w:r>
          </w:p>
        </w:tc>
        <w:tc>
          <w:tcPr>
            <w:tcW w:w="4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DA480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656A8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5：8.3 vs 6.1個月（HR 0.70）</w:t>
            </w:r>
          </w:p>
          <w:p w14:paraId="5D8C111F" w14:textId="17DFA42D" w:rsidR="008131E3" w:rsidRPr="008131E3" w:rsidRDefault="008131E3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A7A3C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5：14.4 vs 11.1個月（HR 0.71, P&lt;0.0001）</w:t>
            </w:r>
          </w:p>
          <w:p w14:paraId="35AD4E26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A05C00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5：60% vs 45%</w:t>
            </w:r>
          </w:p>
          <w:p w14:paraId="6E4C79CB" w14:textId="78550954" w:rsidR="008131E3" w:rsidRPr="00C2060D" w:rsidRDefault="008131E3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全族群：13.7 vs 11.6個月（HR 0.79）</w:t>
            </w:r>
          </w:p>
        </w:tc>
        <w:tc>
          <w:tcPr>
            <w:tcW w:w="26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962E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4283D8A9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PD-L1 CPS</w:t>
            </w:r>
            <w:r w:rsidRPr="00C2060D">
              <w:rPr>
                <w:rFonts w:ascii="Cambria Math" w:eastAsia="微軟正黑體" w:hAnsi="Cambria Math" w:cs="Cambria Math"/>
                <w:color w:val="333333"/>
                <w:sz w:val="15"/>
                <w:szCs w:val="15"/>
              </w:rPr>
              <w:t>≥</w:t>
            </w: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5，一線</w:t>
            </w:r>
          </w:p>
        </w:tc>
      </w:tr>
      <w:tr w:rsidR="0049234F" w:rsidRPr="00C2060D" w14:paraId="54E379C9" w14:textId="77777777" w:rsidTr="00835C2C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9878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 + Trastuzumab + 化療 </w:t>
            </w: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HER2+ 一線</w:t>
            </w:r>
          </w:p>
          <w:p w14:paraId="3A6069E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lastRenderedPageBreak/>
              <w:t>vs. Trastuzumab+化療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ACCE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lastRenderedPageBreak/>
              <w:t>KEYNOTE-811</w:t>
            </w:r>
          </w:p>
          <w:p w14:paraId="4223B6E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n=698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7C8EB" w14:textId="0BBA3D3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+ Trastuzumab</w:t>
            </w:r>
          </w:p>
          <w:p w14:paraId="58039DA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mFOLFOX6/XELOX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F9E82" w14:textId="3B65FEC2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Trastuzumab</w:t>
            </w:r>
          </w:p>
          <w:p w14:paraId="68C0BF0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mFOLFOX6/XELOX</w:t>
            </w:r>
          </w:p>
        </w:tc>
        <w:tc>
          <w:tcPr>
            <w:tcW w:w="4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5E66E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10.0 vs 8.1個月（HR 0.73, P=0.0002）</w:t>
            </w:r>
          </w:p>
          <w:p w14:paraId="3E84B1F1" w14:textId="60ABDA66" w:rsidR="00A37BC1" w:rsidRPr="00C2060D" w:rsidRDefault="00A37BC1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20.0 vs 16.8個月（HR 0.84, P=0.0264）</w:t>
            </w:r>
          </w:p>
          <w:p w14:paraId="1DE5C5A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74.4% vs 51.9%（P&lt;0.00001）</w:t>
            </w:r>
          </w:p>
        </w:tc>
        <w:tc>
          <w:tcPr>
            <w:tcW w:w="26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D752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審議中（FDA已批准）</w:t>
            </w:r>
          </w:p>
        </w:tc>
      </w:tr>
      <w:tr w:rsidR="0049234F" w:rsidRPr="00C2060D" w14:paraId="3CD0E061" w14:textId="77777777" w:rsidTr="00835C2C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1D47F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Ramucirumab（Cyramza） + Paclitaxel </w:t>
            </w:r>
          </w:p>
          <w:p w14:paraId="35C3E518" w14:textId="52EB3875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二線</w:t>
            </w:r>
          </w:p>
          <w:p w14:paraId="373891B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Paclitaxel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B556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RAINBOW</w:t>
            </w:r>
          </w:p>
          <w:p w14:paraId="4F48192C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n=665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8259F" w14:textId="63F9850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Ramucirumab + Paclitaxel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F8C74" w14:textId="562BBE1F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Paclitaxel</w:t>
            </w:r>
          </w:p>
        </w:tc>
        <w:tc>
          <w:tcPr>
            <w:tcW w:w="4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3A579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4.4 vs 2.9個月（HR 0.64, P&lt;0.0001）</w:t>
            </w:r>
          </w:p>
          <w:p w14:paraId="1167436E" w14:textId="52CE43C2" w:rsidR="00A37BC1" w:rsidRPr="00C2060D" w:rsidRDefault="00A37BC1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9.6 vs 7.4個月（HR 0.81, P=0.017）</w:t>
            </w:r>
          </w:p>
          <w:p w14:paraId="78F00059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28% vs 16%</w:t>
            </w:r>
          </w:p>
        </w:tc>
        <w:tc>
          <w:tcPr>
            <w:tcW w:w="26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4A5E0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02060A9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二線治療</w:t>
            </w:r>
          </w:p>
        </w:tc>
      </w:tr>
      <w:tr w:rsidR="0049234F" w:rsidRPr="00C2060D" w14:paraId="51C1823A" w14:textId="77777777" w:rsidTr="00835C2C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387B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Zolbetuximab（Vyloy） + mFOLFOX6 </w:t>
            </w:r>
          </w:p>
          <w:p w14:paraId="343CB272" w14:textId="51F52758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</w:t>
            </w:r>
          </w:p>
          <w:p w14:paraId="17969BA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 CLDN18.2+, HER2-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E202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SPOTLIGHT</w:t>
            </w:r>
          </w:p>
          <w:p w14:paraId="6F841A6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n=565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7F93" w14:textId="1013D27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Zolbetuximab 800mg/m² q3w</w:t>
            </w:r>
          </w:p>
          <w:p w14:paraId="0449EF3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mFOLFOX6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B6C47" w14:textId="3175B3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mFOLFOX6</w:t>
            </w:r>
          </w:p>
        </w:tc>
        <w:tc>
          <w:tcPr>
            <w:tcW w:w="42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5B7D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10.6 vs 8.7個月（HR 0.75, P=0.0007）</w:t>
            </w:r>
          </w:p>
          <w:p w14:paraId="18AA50A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18.2 vs 15.5個月（HR 0.75, P=0.0053）</w:t>
            </w:r>
          </w:p>
          <w:p w14:paraId="58E3F9B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62.0% vs 52.3%</w:t>
            </w:r>
          </w:p>
        </w:tc>
        <w:tc>
          <w:tcPr>
            <w:tcW w:w="26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EE6E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未上市</w:t>
            </w:r>
          </w:p>
          <w:p w14:paraId="341CD91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FDA 2024/10批准</w:t>
            </w:r>
          </w:p>
        </w:tc>
      </w:tr>
    </w:tbl>
    <w:p w14:paraId="07ADC55D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30792F8B" w14:textId="77777777" w:rsidR="0049234F" w:rsidRPr="00C2060D" w:rsidRDefault="00106206">
      <w:pPr>
        <w:spacing w:before="400" w:after="12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五、胰臟癌（Pancreatic Cancer）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1EA695E6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1A82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3CFD5F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0DC22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9EE26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213E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3490F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049F9153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479BF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mFOLFIRINOX </w:t>
            </w:r>
          </w:p>
          <w:p w14:paraId="77D15D09" w14:textId="0B72A870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一線轉移性胰臟癌</w:t>
            </w:r>
          </w:p>
          <w:p w14:paraId="35EB233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Gemcitabine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30C6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ACCORD 11</w:t>
            </w:r>
          </w:p>
          <w:p w14:paraId="27EFF5A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n=342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EDC60" w14:textId="12A25F3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mFOLFIRINOX</w:t>
            </w:r>
          </w:p>
          <w:p w14:paraId="77392F74" w14:textId="7A15EDE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</w:t>
            </w:r>
            <w:r w:rsidR="00835C2C">
              <w:rPr>
                <w:rFonts w:ascii="微軟正黑體" w:eastAsia="微軟正黑體" w:hAnsi="微軟正黑體" w:hint="eastAsia"/>
                <w:color w:val="222222"/>
                <w:sz w:val="16"/>
                <w:szCs w:val="16"/>
              </w:rPr>
              <w:t>Oxaliplatin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</w:t>
            </w:r>
            <w:r w:rsidR="00835C2C">
              <w:rPr>
                <w:rFonts w:ascii="微軟正黑體" w:eastAsia="微軟正黑體" w:hAnsi="微軟正黑體" w:hint="eastAsia"/>
                <w:color w:val="222222"/>
                <w:sz w:val="16"/>
                <w:szCs w:val="16"/>
              </w:rPr>
              <w:t>Irino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+5-FU+</w:t>
            </w:r>
            <w:r w:rsidR="00835C2C">
              <w:rPr>
                <w:rFonts w:ascii="微軟正黑體" w:eastAsia="微軟正黑體" w:hAnsi="微軟正黑體" w:hint="eastAsia"/>
                <w:color w:val="222222"/>
                <w:sz w:val="16"/>
                <w:szCs w:val="16"/>
              </w:rPr>
              <w:t>Leucovorin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ED9B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Gemcitabine 單藥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BE44F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6.4 vs 3.3個月（HR 0.47）</w:t>
            </w:r>
          </w:p>
          <w:p w14:paraId="4E4EE41F" w14:textId="5FDB5A7F" w:rsidR="00A37BC1" w:rsidRPr="00C2060D" w:rsidRDefault="00A37BC1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11.1 vs 6.8個月（HR 0.57, P&lt;0.001）</w:t>
            </w:r>
          </w:p>
          <w:p w14:paraId="4E82900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31.6% vs 9.4%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B400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5333C87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（ECOG PS 0–1）</w:t>
            </w:r>
          </w:p>
        </w:tc>
      </w:tr>
      <w:tr w:rsidR="0049234F" w:rsidRPr="00C2060D" w14:paraId="7A46913F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07767" w14:textId="77777777" w:rsidR="00835C2C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Gemcitabine + Nab-Paclitaxel </w:t>
            </w:r>
          </w:p>
          <w:p w14:paraId="7896D7D1" w14:textId="7BBA84AA" w:rsidR="0049234F" w:rsidRPr="00835C2C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35C2C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一線轉移性胰臟癌</w:t>
            </w:r>
          </w:p>
          <w:p w14:paraId="4DE275B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Gemcitabine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BEDF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MPACT</w:t>
            </w:r>
          </w:p>
          <w:p w14:paraId="4173E9F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n=861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10D7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Nab-Paclitaxel 125mg/m²</w:t>
            </w:r>
          </w:p>
          <w:p w14:paraId="60BEF58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Gemcitabine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47E95" w14:textId="460128E0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Gemcitabine 單藥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ADC0E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5.5 vs 3.7個月（HR 0.69）</w:t>
            </w:r>
          </w:p>
          <w:p w14:paraId="44112B42" w14:textId="03694A1D" w:rsidR="00A37BC1" w:rsidRPr="00C2060D" w:rsidRDefault="00A37BC1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8.5 vs 6.7個月（HR 0.72, P&lt;0.001）</w:t>
            </w:r>
          </w:p>
          <w:p w14:paraId="0278F51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23% vs 7%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FD57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788DFD9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（ECOG PS 0–2）</w:t>
            </w:r>
          </w:p>
        </w:tc>
      </w:tr>
      <w:tr w:rsidR="0049234F" w:rsidRPr="00C2060D" w14:paraId="516C3ABB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F26C9" w14:textId="7A66D495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Olaparib（</w:t>
            </w:r>
            <w:r w:rsidR="008C6010">
              <w:rPr>
                <w:rFonts w:ascii="微軟正黑體" w:eastAsia="微軟正黑體" w:hAnsi="微軟正黑體" w:hint="eastAsia"/>
                <w:b/>
                <w:bCs/>
                <w:color w:val="1E3A5F"/>
                <w:sz w:val="17"/>
                <w:szCs w:val="17"/>
              </w:rPr>
              <w:t>令癌莎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） </w:t>
            </w:r>
            <w:r w:rsidRPr="008C6010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維持治療（gBRCA突變）</w:t>
            </w:r>
          </w:p>
          <w:p w14:paraId="11BF9B1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安慰劑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E031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POLO</w:t>
            </w:r>
          </w:p>
          <w:p w14:paraId="74BA99D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n=154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B656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Olaparib 300mg bid</w:t>
            </w:r>
          </w:p>
          <w:p w14:paraId="722D8A8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（鉑類未進展後維持）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409CB" w14:textId="44A9590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8707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7.4 vs 3.8個月（HR 0.53, P=0.004）</w:t>
            </w:r>
          </w:p>
          <w:p w14:paraId="444E3B4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18.9 vs 18.1個月（HR 0.83，不顯著）</w:t>
            </w:r>
          </w:p>
          <w:p w14:paraId="0845BEC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23% vs 12%</w:t>
            </w:r>
          </w:p>
          <w:p w14:paraId="76B5C9C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OS無統計顯著，維持治療可延遲進展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A316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需個案申請</w:t>
            </w:r>
          </w:p>
          <w:p w14:paraId="1D1533A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（主要適應症為卵巢/乳癌）</w:t>
            </w:r>
          </w:p>
        </w:tc>
      </w:tr>
    </w:tbl>
    <w:p w14:paraId="4015EB54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23F1D5BA" w14:textId="77777777" w:rsidR="0049234F" w:rsidRPr="00C2060D" w:rsidRDefault="00106206">
      <w:pPr>
        <w:spacing w:before="400" w:after="12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六、頭頸癌（Head and Neck Cancer）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1877AF56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0FCBE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CB308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D019D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3B75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DF74C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5054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1C10F7E9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49179" w14:textId="77777777" w:rsidR="008B7424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Pembrolizumab（吉舒達） 單藥 </w:t>
            </w:r>
          </w:p>
          <w:p w14:paraId="428E4178" w14:textId="18790BC0" w:rsidR="0049234F" w:rsidRPr="008B7424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B7424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R/M HNSCC 一線</w:t>
            </w:r>
          </w:p>
          <w:p w14:paraId="66728084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EXTREME方案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945A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KEYNOTE-048</w:t>
            </w:r>
          </w:p>
          <w:p w14:paraId="4BB31C7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n=882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C8DB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200mg q3w</w:t>
            </w:r>
          </w:p>
          <w:p w14:paraId="62E48C2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單藥（CPS</w:t>
            </w:r>
            <w:r w:rsidRPr="00C2060D">
              <w:rPr>
                <w:rFonts w:ascii="Cambria Math" w:eastAsia="微軟正黑體" w:hAnsi="Cambria Math" w:cs="Cambria Math"/>
                <w:color w:val="222222"/>
                <w:sz w:val="16"/>
                <w:szCs w:val="16"/>
              </w:rPr>
              <w:t>≥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1）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6CF0E" w14:textId="46E7442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Cetuximab + 5-FU + 鉑類</w:t>
            </w:r>
          </w:p>
          <w:p w14:paraId="0A62263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（EXTREME方案）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0B5C2" w14:textId="353072E2" w:rsidR="00A37BC1" w:rsidRPr="00A37BC1" w:rsidRDefault="00A37BC1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656A8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1：3.2 vs 5.0個月（HR 0.84，早期交叉）</w:t>
            </w:r>
          </w:p>
          <w:p w14:paraId="72614640" w14:textId="17621A1E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A7A3C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1：12.3 vs 10.3個月（HR 0.78, P=0.0086）</w:t>
            </w:r>
          </w:p>
          <w:p w14:paraId="18D0F48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A7A3C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20：14.9 vs 10.7個月（HR 0.61）</w:t>
            </w:r>
          </w:p>
          <w:p w14:paraId="1E5DDD89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A05C00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20：23.3% vs 36.1%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892EF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6DF99D3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PD-L1 CPS</w:t>
            </w:r>
            <w:r w:rsidRPr="00C2060D">
              <w:rPr>
                <w:rFonts w:ascii="Cambria Math" w:eastAsia="微軟正黑體" w:hAnsi="Cambria Math" w:cs="Cambria Math"/>
                <w:color w:val="333333"/>
                <w:sz w:val="15"/>
                <w:szCs w:val="15"/>
              </w:rPr>
              <w:t>≥</w:t>
            </w: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1，一線單藥</w:t>
            </w:r>
          </w:p>
        </w:tc>
      </w:tr>
      <w:tr w:rsidR="0049234F" w:rsidRPr="00C2060D" w14:paraId="79529B67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129A5" w14:textId="77777777" w:rsidR="008B7424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 + 化療 </w:t>
            </w:r>
          </w:p>
          <w:p w14:paraId="520370A6" w14:textId="6E0DCF28" w:rsidR="0049234F" w:rsidRPr="008B7424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B7424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R/M HNSCC 一線（全族群）</w:t>
            </w:r>
          </w:p>
          <w:p w14:paraId="6905635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EXTREME方案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04AE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KEYNOTE-048</w:t>
            </w:r>
          </w:p>
          <w:p w14:paraId="020590E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n=882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84B5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+ 5-FU</w:t>
            </w:r>
          </w:p>
          <w:p w14:paraId="5F1EB3C6" w14:textId="7DED6925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Carboplatin/Cisplatin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7919D" w14:textId="7EE2D29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Cetuximab + 5-FU + 鉑類</w:t>
            </w:r>
          </w:p>
          <w:p w14:paraId="15EA102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（EXTREME方案）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83A77" w14:textId="77777777" w:rsidR="0049234F" w:rsidRDefault="00106206">
            <w:pPr>
              <w:spacing w:after="36"/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全族群：4.9 vs 5.0個月（HR 0.84）</w:t>
            </w:r>
          </w:p>
          <w:p w14:paraId="52D039AD" w14:textId="01CB0E40" w:rsidR="00A37BC1" w:rsidRPr="00A37BC1" w:rsidRDefault="00A37BC1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全族群：13.0 vs 10.7個月（HR 0.77, P=0.0034）</w:t>
            </w:r>
          </w:p>
          <w:p w14:paraId="7127E70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全族群：35.6% vs 36.1%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7FFC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537CE46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一線聯合化療</w:t>
            </w:r>
          </w:p>
        </w:tc>
      </w:tr>
      <w:tr w:rsidR="0049234F" w:rsidRPr="00C2060D" w14:paraId="633937F7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2D5A" w14:textId="77777777" w:rsidR="009611F6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Nivolumab（保疾伏） </w:t>
            </w:r>
          </w:p>
          <w:p w14:paraId="7120BEC4" w14:textId="2F40035F" w:rsidR="0049234F" w:rsidRPr="009611F6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9611F6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術後輔助高風險HNSCC</w:t>
            </w:r>
          </w:p>
          <w:p w14:paraId="10436B4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術後放化療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64E7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NIVOPOSTOP</w:t>
            </w:r>
          </w:p>
          <w:p w14:paraId="26AC16E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III（ASCO 2025）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4DF97" w14:textId="5A268B2C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Nivolumab 240mg q2w × 4週期</w:t>
            </w:r>
          </w:p>
          <w:p w14:paraId="54B2705B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術後放化療（CCRT）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E0718" w14:textId="75433A0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術後放化療（CCRT）</w:t>
            </w:r>
          </w:p>
          <w:p w14:paraId="1682FBFD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（標準治療）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9CB5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EFS  HR 0.71（P=0.0051），降低復發風險</w:t>
            </w:r>
          </w:p>
          <w:p w14:paraId="24CA857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趨勢有利，長期數據待成熟</w:t>
            </w:r>
          </w:p>
          <w:p w14:paraId="086E532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ASCO 2025新數據，尚待更新指引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82EB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未納入健保</w:t>
            </w:r>
          </w:p>
          <w:p w14:paraId="1CA4395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（新數據，等待TFDA）</w:t>
            </w:r>
          </w:p>
        </w:tc>
      </w:tr>
    </w:tbl>
    <w:p w14:paraId="2524EBC1" w14:textId="2F51650B" w:rsidR="0049234F" w:rsidRPr="00C2060D" w:rsidRDefault="009611F6">
      <w:pPr>
        <w:spacing w:before="60" w:after="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R/M, </w:t>
      </w:r>
      <w:r w:rsidRPr="009611F6">
        <w:rPr>
          <w:rFonts w:ascii="微軟正黑體" w:eastAsia="微軟正黑體" w:hAnsi="微軟正黑體"/>
        </w:rPr>
        <w:t>Recurrent</w:t>
      </w:r>
      <w:r>
        <w:rPr>
          <w:rFonts w:ascii="微軟正黑體" w:eastAsia="微軟正黑體" w:hAnsi="微軟正黑體" w:hint="eastAsia"/>
        </w:rPr>
        <w:t>/</w:t>
      </w:r>
      <w:r w:rsidRPr="009611F6">
        <w:t xml:space="preserve"> </w:t>
      </w:r>
      <w:r w:rsidRPr="009611F6">
        <w:rPr>
          <w:rFonts w:ascii="微軟正黑體" w:eastAsia="微軟正黑體" w:hAnsi="微軟正黑體"/>
        </w:rPr>
        <w:t>Metastatic</w:t>
      </w:r>
    </w:p>
    <w:p w14:paraId="1475099B" w14:textId="77777777" w:rsidR="0049234F" w:rsidRPr="00C2060D" w:rsidRDefault="00106206">
      <w:pPr>
        <w:spacing w:before="400" w:after="12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1E3A5F"/>
          <w:sz w:val="30"/>
          <w:szCs w:val="30"/>
        </w:rPr>
        <w:t>七、婦科癌症（Gynecological Cancers）</w:t>
      </w:r>
    </w:p>
    <w:p w14:paraId="68FE4584" w14:textId="77777777" w:rsidR="0049234F" w:rsidRPr="00C2060D" w:rsidRDefault="00106206">
      <w:pPr>
        <w:spacing w:before="200" w:after="8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7.1 卵巢癌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4378CF48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DBA5B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33A5A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2944A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FFD5FE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C13588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F8E74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449AB2B1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B816D" w14:textId="77777777" w:rsidR="00FF7622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Olaparib + Bevacizumab</w:t>
            </w:r>
          </w:p>
          <w:p w14:paraId="0CB4E084" w14:textId="4AD1AECB" w:rsidR="0049234F" w:rsidRPr="00FF7622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 </w:t>
            </w:r>
            <w:r w:rsidRPr="00FF7622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一線維持（HRD+）</w:t>
            </w:r>
          </w:p>
          <w:p w14:paraId="1215D5E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Bevacizumab維持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B263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PAOLA-1</w:t>
            </w:r>
          </w:p>
          <w:p w14:paraId="28B5705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n=806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7743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Olaparib 300mg bid</w:t>
            </w:r>
          </w:p>
          <w:p w14:paraId="4DF18AC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Bevacizumab 15mg/kg q3w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A231F" w14:textId="77BECE93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 + Bevacizumab</w:t>
            </w:r>
          </w:p>
          <w:p w14:paraId="4F52279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15mg/kg q3w（維持）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4AE3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HRD+：37.2 vs 17.7個月（HR 0.33）</w:t>
            </w:r>
          </w:p>
          <w:p w14:paraId="1D5BFA80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HRD+：75.2 vs 57.3個月（HR 0.62，延長17.9月）</w:t>
            </w:r>
          </w:p>
          <w:p w14:paraId="6CA5D2C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全族群：22.1 vs 16.6個月（HR 0.59）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93BA5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2E606F4D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HRD陽性，一線維持</w:t>
            </w:r>
          </w:p>
        </w:tc>
      </w:tr>
      <w:tr w:rsidR="0049234F" w:rsidRPr="00C2060D" w14:paraId="0C072568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60258" w14:textId="46640538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Olaparib（</w:t>
            </w:r>
            <w:r w:rsidR="00FF7622">
              <w:rPr>
                <w:rFonts w:ascii="微軟正黑體" w:eastAsia="微軟正黑體" w:hAnsi="微軟正黑體" w:hint="eastAsia"/>
                <w:b/>
                <w:bCs/>
                <w:color w:val="1E3A5F"/>
                <w:sz w:val="17"/>
                <w:szCs w:val="17"/>
              </w:rPr>
              <w:t>令癌莎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） </w:t>
            </w:r>
            <w:r w:rsidRPr="00FF7622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lastRenderedPageBreak/>
              <w:t>一線維持（BRCA突變）</w:t>
            </w:r>
          </w:p>
          <w:p w14:paraId="3054E63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安慰劑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012A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lastRenderedPageBreak/>
              <w:t>SOLO-1</w:t>
            </w:r>
          </w:p>
          <w:p w14:paraId="37A8B8F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lastRenderedPageBreak/>
              <w:t>Phase III  n=391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B3A77" w14:textId="7C7B2C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lastRenderedPageBreak/>
              <w:t>Olaparib 300mg bid × 2年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E642C" w14:textId="6D261D6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5AA67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56.0 vs 13.8個月（HR 0.37, P&lt;0.0001）</w:t>
            </w:r>
          </w:p>
          <w:p w14:paraId="4136F0A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lastRenderedPageBreak/>
              <w:t>PFS  7年PFS率 45% vs 21%</w:t>
            </w:r>
          </w:p>
          <w:p w14:paraId="73BB428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長期追蹤OS獲益持續（7年OS 67% vs 47%，HR 0.55）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5468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lastRenderedPageBreak/>
              <w:t>已給付</w:t>
            </w:r>
          </w:p>
          <w:p w14:paraId="699ECC0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lastRenderedPageBreak/>
              <w:t>gBRCA/sBRCA突變</w:t>
            </w:r>
          </w:p>
        </w:tc>
      </w:tr>
      <w:tr w:rsidR="0049234F" w:rsidRPr="00C2060D" w14:paraId="4D9A7D2A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2C4FA" w14:textId="03B71AF2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Niraparib（</w:t>
            </w:r>
            <w:r w:rsidR="00FF7622">
              <w:rPr>
                <w:rFonts w:ascii="微軟正黑體" w:eastAsia="微軟正黑體" w:hAnsi="微軟正黑體" w:hint="eastAsia"/>
                <w:b/>
                <w:bCs/>
                <w:color w:val="1E3A5F"/>
                <w:sz w:val="17"/>
                <w:szCs w:val="17"/>
              </w:rPr>
              <w:t>截永樂</w:t>
            </w: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） </w:t>
            </w:r>
            <w:r w:rsidRPr="00FF7622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一線維持</w:t>
            </w:r>
          </w:p>
          <w:p w14:paraId="7BBB552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安慰劑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EAB0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PRIMA / ENGOT-OV26</w:t>
            </w:r>
          </w:p>
          <w:p w14:paraId="19B53BE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n=733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63BB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Niraparib 300mg/日</w:t>
            </w:r>
          </w:p>
          <w:p w14:paraId="65FE2EC7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（或依體重調整200mg）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FF50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安慰劑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7AEE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HRD+：21.9 vs 10.4個月（HR 0.43, P&lt;0.001）</w:t>
            </w:r>
          </w:p>
          <w:p w14:paraId="741D0DC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全族群：13.8 vs 8.2個月（HR 0.62, P&lt;0.001）</w:t>
            </w:r>
          </w:p>
          <w:p w14:paraId="19A6B14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長期OS數據HRD+具改善趨勢（HR 0.79）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B17B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已給付</w:t>
            </w:r>
          </w:p>
          <w:p w14:paraId="17F92F5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HRD陽性，一線維持</w:t>
            </w:r>
          </w:p>
        </w:tc>
      </w:tr>
    </w:tbl>
    <w:p w14:paraId="3AC09C8F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0A42EDCC" w14:textId="77777777" w:rsidR="0049234F" w:rsidRPr="00C2060D" w:rsidRDefault="00106206">
      <w:pPr>
        <w:spacing w:before="200" w:after="8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7.2 子宮頸癌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24C37921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96867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7013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6BE5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04F18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7167F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6EA9E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6D09BC0A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15932" w14:textId="77777777" w:rsidR="00FF7622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 + 化療 ± Bev </w:t>
            </w:r>
          </w:p>
          <w:p w14:paraId="7A0AB6A2" w14:textId="6E07DB34" w:rsidR="0049234F" w:rsidRPr="00FF7622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FF7622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復發/轉移一線</w:t>
            </w:r>
          </w:p>
          <w:p w14:paraId="080D684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6365A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KEYNOTE-826</w:t>
            </w:r>
          </w:p>
          <w:p w14:paraId="3D3FC3E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n=617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94B9E" w14:textId="77777777" w:rsidR="008D5336" w:rsidRDefault="00106206">
            <w:pPr>
              <w:spacing w:after="40"/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Pembrolizumab + </w:t>
            </w:r>
          </w:p>
          <w:p w14:paraId="33493E67" w14:textId="4FB2FE79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鉑類+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Paclitaxel</w:t>
            </w:r>
          </w:p>
          <w:p w14:paraId="1BEBB6A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± Bevacizumab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0E8E5" w14:textId="77777777" w:rsidR="008D5336" w:rsidRDefault="00106206">
            <w:pPr>
              <w:spacing w:after="40"/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安慰劑 + </w:t>
            </w:r>
          </w:p>
          <w:p w14:paraId="7C04558E" w14:textId="4B369E3A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鉑類+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Paclitaxel</w:t>
            </w:r>
          </w:p>
          <w:p w14:paraId="4D531562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± Bevacizumab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8208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656A8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1：10.4 vs 8.2個月（HR 0.65, P&lt;0.001）</w:t>
            </w:r>
          </w:p>
          <w:p w14:paraId="40B593CB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1A7A3C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1：24.4 vs 16.5個月（HR 0.64）</w:t>
            </w:r>
          </w:p>
          <w:p w14:paraId="10F3B30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全族群：24.4 vs 16.5個月（HR 0.67, P&lt;0.001）</w:t>
            </w:r>
          </w:p>
          <w:p w14:paraId="7027FD0A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CPS</w:t>
            </w:r>
            <w:r w:rsidRPr="00C2060D">
              <w:rPr>
                <w:rFonts w:ascii="Cambria Math" w:eastAsia="微軟正黑體" w:hAnsi="Cambria Math" w:cs="Cambria Math"/>
                <w:b/>
                <w:bCs/>
                <w:color w:val="A05C00"/>
                <w:sz w:val="17"/>
                <w:szCs w:val="17"/>
              </w:rPr>
              <w:t>≥</w:t>
            </w: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1：65.9% vs 50.7%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35F3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審議中</w:t>
            </w:r>
          </w:p>
        </w:tc>
      </w:tr>
      <w:tr w:rsidR="0049234F" w:rsidRPr="00C2060D" w14:paraId="25C89831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CB1D8" w14:textId="77777777" w:rsidR="008D5336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>Tisotumab vedotin（Tivdak） TF靶向ADC，</w:t>
            </w:r>
          </w:p>
          <w:p w14:paraId="297FC8C4" w14:textId="06C91A90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8D5336">
              <w:rPr>
                <w:rFonts w:ascii="Cambria Math" w:eastAsia="微軟正黑體" w:hAnsi="Cambria Math" w:cs="Cambria Math"/>
                <w:i/>
                <w:iCs/>
                <w:color w:val="666666"/>
                <w:sz w:val="15"/>
                <w:szCs w:val="15"/>
              </w:rPr>
              <w:t>≥</w:t>
            </w:r>
            <w:r w:rsidRPr="008D5336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2線</w:t>
            </w:r>
          </w:p>
          <w:p w14:paraId="2645C7DE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醫師選擇化療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1601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innovaTV 301</w:t>
            </w:r>
          </w:p>
          <w:p w14:paraId="5BA1623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n=502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1C9B1" w14:textId="451F15A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Tisotumab vedotin</w:t>
            </w:r>
          </w:p>
          <w:p w14:paraId="57938F9F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2.0mg/kg q3w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0D1E3" w14:textId="22D294A2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醫師選擇化療（TPC）</w:t>
            </w:r>
          </w:p>
          <w:p w14:paraId="6A50CC0D" w14:textId="48267AAE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</w:t>
            </w:r>
            <w:r w:rsidR="008D5336">
              <w:rPr>
                <w:rFonts w:ascii="微軟正黑體" w:eastAsia="微軟正黑體" w:hAnsi="微軟正黑體" w:hint="eastAsia"/>
                <w:color w:val="222222"/>
                <w:sz w:val="16"/>
                <w:szCs w:val="16"/>
              </w:rPr>
              <w:t>Topotecan</w:t>
            </w: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/Vin/Gem/Iri）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A2E35" w14:textId="2AE2CC1B" w:rsidR="008D5336" w:rsidRPr="008D5336" w:rsidRDefault="008D533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4.2 vs 2.9個月（HR 0.67）</w:t>
            </w:r>
          </w:p>
          <w:p w14:paraId="38B0FFB7" w14:textId="2DE20EAF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11.5 vs 9.5個月（HR 0.70, P=0.0012）</w:t>
            </w:r>
          </w:p>
          <w:p w14:paraId="62DB4626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17.8% vs 5.2%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F1538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B01010"/>
                <w:sz w:val="17"/>
                <w:szCs w:val="17"/>
              </w:rPr>
              <w:t>未上市</w:t>
            </w:r>
          </w:p>
          <w:p w14:paraId="707DD10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FDA 2024/4批准</w:t>
            </w:r>
          </w:p>
        </w:tc>
      </w:tr>
    </w:tbl>
    <w:p w14:paraId="1B834E85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1767F912" w14:textId="77777777" w:rsidR="0049234F" w:rsidRPr="00C2060D" w:rsidRDefault="00106206">
      <w:pPr>
        <w:spacing w:before="200" w:after="80"/>
        <w:rPr>
          <w:rFonts w:ascii="微軟正黑體" w:eastAsia="微軟正黑體" w:hAnsi="微軟正黑體"/>
        </w:rPr>
      </w:pPr>
      <w:r w:rsidRPr="00C2060D">
        <w:rPr>
          <w:rFonts w:ascii="微軟正黑體" w:eastAsia="微軟正黑體" w:hAnsi="微軟正黑體"/>
          <w:b/>
          <w:bCs/>
          <w:color w:val="2B5F9E"/>
          <w:sz w:val="22"/>
          <w:szCs w:val="22"/>
        </w:rPr>
        <w:t>7.3 子宮內膜癌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1760"/>
        <w:gridCol w:w="2400"/>
        <w:gridCol w:w="2400"/>
        <w:gridCol w:w="4700"/>
        <w:gridCol w:w="2178"/>
      </w:tblGrid>
      <w:tr w:rsidR="0049234F" w:rsidRPr="00C2060D" w14:paraId="3F79A1C0" w14:textId="77777777">
        <w:trPr>
          <w:tblHeader/>
        </w:trPr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AD63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藥物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90267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臨床試驗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DFE02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試驗組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695B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對照組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9E159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主要結果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6EDB3" w14:textId="77777777" w:rsidR="0049234F" w:rsidRPr="00C2060D" w:rsidRDefault="00106206">
            <w:pPr>
              <w:jc w:val="center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FFFFFF"/>
              </w:rPr>
              <w:t>台灣健保</w:t>
            </w:r>
          </w:p>
        </w:tc>
      </w:tr>
      <w:tr w:rsidR="0049234F" w:rsidRPr="00C2060D" w14:paraId="6F123F5C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F9BDA" w14:textId="77777777" w:rsidR="008D5336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t xml:space="preserve">Pembrolizumab + Lenvatinib </w:t>
            </w:r>
          </w:p>
          <w:p w14:paraId="383F25A8" w14:textId="59BCE7A5" w:rsidR="0049234F" w:rsidRPr="008D5336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D5336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既往化療後</w:t>
            </w:r>
          </w:p>
          <w:p w14:paraId="69946EE0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醫師選擇化療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E8733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KEYNOTE-775</w:t>
            </w:r>
          </w:p>
          <w:p w14:paraId="7145AB1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III  n=827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2D06C" w14:textId="53FD85AF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Pembrolizumab 200mg q3w</w:t>
            </w:r>
          </w:p>
          <w:p w14:paraId="3AC29F71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+ Lenvatinib 20mg/日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FEC7F" w14:textId="34B27325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醫師選擇化療（TPC）</w:t>
            </w:r>
          </w:p>
          <w:p w14:paraId="2A90B235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（Doxorubicin 或 Paclitaxel）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16E94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全族群：7.2 vs 3.8個月（HR 0.56, P&lt;0.0001）</w:t>
            </w:r>
          </w:p>
          <w:p w14:paraId="13CBD6A5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全族群：18.3 vs 11.4個月（HR 0.62, P&lt;0.0001）</w:t>
            </w:r>
          </w:p>
          <w:p w14:paraId="0DF6383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全族群：31.9% vs 14.7%</w:t>
            </w:r>
          </w:p>
          <w:p w14:paraId="39D8036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888888"/>
                <w:sz w:val="17"/>
                <w:szCs w:val="17"/>
              </w:rPr>
              <w:t>※ pMMR/MSS族群同樣有獲益（PFS HR 0.60）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85E3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審議中</w:t>
            </w:r>
          </w:p>
        </w:tc>
      </w:tr>
      <w:tr w:rsidR="0049234F" w:rsidRPr="00C2060D" w14:paraId="5C15A8CF" w14:textId="77777777"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6F068" w14:textId="77777777" w:rsidR="008D5336" w:rsidRDefault="00106206">
            <w:pPr>
              <w:spacing w:after="40"/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E3A5F"/>
                <w:sz w:val="17"/>
                <w:szCs w:val="17"/>
              </w:rPr>
              <w:lastRenderedPageBreak/>
              <w:t xml:space="preserve">Trastuzumab（賀癌平） + 化療 </w:t>
            </w:r>
          </w:p>
          <w:p w14:paraId="1F30B258" w14:textId="6C2CAC32" w:rsidR="0049234F" w:rsidRPr="008D5336" w:rsidRDefault="00106206">
            <w:pPr>
              <w:spacing w:after="40"/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</w:pPr>
            <w:r w:rsidRPr="008D5336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HER2+漿液性</w:t>
            </w:r>
          </w:p>
          <w:p w14:paraId="2A369936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i/>
                <w:iCs/>
                <w:color w:val="666666"/>
                <w:sz w:val="15"/>
                <w:szCs w:val="15"/>
              </w:rPr>
              <w:t>vs. 化療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06BC9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GOG3031 / ENGOT-EN6</w:t>
            </w:r>
          </w:p>
          <w:p w14:paraId="2453B638" w14:textId="77777777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666666"/>
                <w:sz w:val="15"/>
                <w:szCs w:val="15"/>
              </w:rPr>
              <w:t>Phase II/III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ABBB4" w14:textId="610B2B65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Trastuzumab 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Carboplatin</w:t>
            </w:r>
          </w:p>
          <w:p w14:paraId="7DEFA7DA" w14:textId="00C11F73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Paclitaxel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D02D6" w14:textId="495E9B36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安慰劑 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Carboplatin</w:t>
            </w:r>
          </w:p>
          <w:p w14:paraId="6D529731" w14:textId="3544DEA5" w:rsidR="0049234F" w:rsidRPr="00C2060D" w:rsidRDefault="00106206">
            <w:pPr>
              <w:spacing w:after="40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 xml:space="preserve">+ </w:t>
            </w:r>
            <w:r w:rsidR="00782FDA">
              <w:rPr>
                <w:rFonts w:ascii="微軟正黑體" w:eastAsia="微軟正黑體" w:hAnsi="微軟正黑體"/>
                <w:color w:val="222222"/>
                <w:sz w:val="16"/>
                <w:szCs w:val="16"/>
              </w:rPr>
              <w:t>Paclitaxel</w:t>
            </w:r>
          </w:p>
        </w:tc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F2FA2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656A8"/>
                <w:sz w:val="17"/>
                <w:szCs w:val="17"/>
              </w:rPr>
              <w:t>PFS  9.2 vs 6.6個月（HR 0.58, P=0.048）</w:t>
            </w:r>
          </w:p>
          <w:p w14:paraId="6E532501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1A7A3C"/>
                <w:sz w:val="17"/>
                <w:szCs w:val="17"/>
              </w:rPr>
              <w:t>OS   趨勢有利，無統計顯著（HR 0.72）</w:t>
            </w:r>
          </w:p>
          <w:p w14:paraId="06BF7853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A05C00"/>
                <w:sz w:val="17"/>
                <w:szCs w:val="17"/>
              </w:rPr>
              <w:t>ORR  59% vs 47%</w:t>
            </w:r>
          </w:p>
        </w:tc>
        <w:tc>
          <w:tcPr>
            <w:tcW w:w="21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7BD6C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b/>
                <w:bCs/>
                <w:color w:val="333333"/>
                <w:sz w:val="17"/>
                <w:szCs w:val="17"/>
              </w:rPr>
              <w:t>無適應症</w:t>
            </w:r>
          </w:p>
          <w:p w14:paraId="5EAADE0E" w14:textId="77777777" w:rsidR="0049234F" w:rsidRPr="00C2060D" w:rsidRDefault="00106206">
            <w:pPr>
              <w:spacing w:after="36"/>
              <w:rPr>
                <w:rFonts w:ascii="微軟正黑體" w:eastAsia="微軟正黑體" w:hAnsi="微軟正黑體"/>
              </w:rPr>
            </w:pPr>
            <w:r w:rsidRPr="00C2060D">
              <w:rPr>
                <w:rFonts w:ascii="微軟正黑體" w:eastAsia="微軟正黑體" w:hAnsi="微軟正黑體"/>
                <w:color w:val="333333"/>
                <w:sz w:val="15"/>
                <w:szCs w:val="15"/>
              </w:rPr>
              <w:t>需個案申請</w:t>
            </w:r>
          </w:p>
        </w:tc>
      </w:tr>
    </w:tbl>
    <w:p w14:paraId="45F9F25A" w14:textId="77777777" w:rsidR="0049234F" w:rsidRPr="00C2060D" w:rsidRDefault="0049234F">
      <w:pPr>
        <w:spacing w:before="60" w:after="60"/>
        <w:rPr>
          <w:rFonts w:ascii="微軟正黑體" w:eastAsia="微軟正黑體" w:hAnsi="微軟正黑體"/>
        </w:rPr>
      </w:pPr>
    </w:p>
    <w:p w14:paraId="727FA822" w14:textId="4D753F08" w:rsidR="0049234F" w:rsidRPr="00C2060D" w:rsidRDefault="0049234F">
      <w:pPr>
        <w:rPr>
          <w:rFonts w:ascii="微軟正黑體" w:eastAsia="微軟正黑體" w:hAnsi="微軟正黑體"/>
        </w:rPr>
      </w:pPr>
    </w:p>
    <w:sectPr w:rsidR="0049234F" w:rsidRPr="00C2060D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C80C" w14:textId="77777777" w:rsidR="006A086A" w:rsidRDefault="006A086A" w:rsidP="00C2060D">
      <w:r>
        <w:separator/>
      </w:r>
    </w:p>
  </w:endnote>
  <w:endnote w:type="continuationSeparator" w:id="0">
    <w:p w14:paraId="13B84869" w14:textId="77777777" w:rsidR="006A086A" w:rsidRDefault="006A086A" w:rsidP="00C20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065F" w14:textId="77777777" w:rsidR="006A086A" w:rsidRDefault="006A086A" w:rsidP="00C2060D">
      <w:r>
        <w:separator/>
      </w:r>
    </w:p>
  </w:footnote>
  <w:footnote w:type="continuationSeparator" w:id="0">
    <w:p w14:paraId="24383014" w14:textId="77777777" w:rsidR="006A086A" w:rsidRDefault="006A086A" w:rsidP="00C20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60C4"/>
    <w:multiLevelType w:val="hybridMultilevel"/>
    <w:tmpl w:val="26DADEEE"/>
    <w:lvl w:ilvl="0" w:tplc="E194845C">
      <w:start w:val="1"/>
      <w:numFmt w:val="bullet"/>
      <w:lvlText w:val="●"/>
      <w:lvlJc w:val="left"/>
      <w:pPr>
        <w:ind w:left="720" w:hanging="360"/>
      </w:pPr>
    </w:lvl>
    <w:lvl w:ilvl="1" w:tplc="2F54037A">
      <w:start w:val="1"/>
      <w:numFmt w:val="bullet"/>
      <w:lvlText w:val="○"/>
      <w:lvlJc w:val="left"/>
      <w:pPr>
        <w:ind w:left="1440" w:hanging="360"/>
      </w:pPr>
    </w:lvl>
    <w:lvl w:ilvl="2" w:tplc="C088B386">
      <w:start w:val="1"/>
      <w:numFmt w:val="bullet"/>
      <w:lvlText w:val="■"/>
      <w:lvlJc w:val="left"/>
      <w:pPr>
        <w:ind w:left="2160" w:hanging="360"/>
      </w:pPr>
    </w:lvl>
    <w:lvl w:ilvl="3" w:tplc="C4E8786A">
      <w:start w:val="1"/>
      <w:numFmt w:val="bullet"/>
      <w:lvlText w:val="●"/>
      <w:lvlJc w:val="left"/>
      <w:pPr>
        <w:ind w:left="2880" w:hanging="360"/>
      </w:pPr>
    </w:lvl>
    <w:lvl w:ilvl="4" w:tplc="0194FB26">
      <w:start w:val="1"/>
      <w:numFmt w:val="bullet"/>
      <w:lvlText w:val="○"/>
      <w:lvlJc w:val="left"/>
      <w:pPr>
        <w:ind w:left="3600" w:hanging="360"/>
      </w:pPr>
    </w:lvl>
    <w:lvl w:ilvl="5" w:tplc="73D40322">
      <w:start w:val="1"/>
      <w:numFmt w:val="bullet"/>
      <w:lvlText w:val="■"/>
      <w:lvlJc w:val="left"/>
      <w:pPr>
        <w:ind w:left="4320" w:hanging="360"/>
      </w:pPr>
    </w:lvl>
    <w:lvl w:ilvl="6" w:tplc="6BC0004C">
      <w:start w:val="1"/>
      <w:numFmt w:val="bullet"/>
      <w:lvlText w:val="●"/>
      <w:lvlJc w:val="left"/>
      <w:pPr>
        <w:ind w:left="5040" w:hanging="360"/>
      </w:pPr>
    </w:lvl>
    <w:lvl w:ilvl="7" w:tplc="E5E664C4">
      <w:start w:val="1"/>
      <w:numFmt w:val="bullet"/>
      <w:lvlText w:val="●"/>
      <w:lvlJc w:val="left"/>
      <w:pPr>
        <w:ind w:left="5760" w:hanging="360"/>
      </w:pPr>
    </w:lvl>
    <w:lvl w:ilvl="8" w:tplc="1E3666FC">
      <w:start w:val="1"/>
      <w:numFmt w:val="bullet"/>
      <w:lvlText w:val="●"/>
      <w:lvlJc w:val="left"/>
      <w:pPr>
        <w:ind w:left="6480" w:hanging="360"/>
      </w:pPr>
    </w:lvl>
  </w:abstractNum>
  <w:num w:numId="1" w16cid:durableId="2133011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34F"/>
    <w:rsid w:val="00057C08"/>
    <w:rsid w:val="00074FE5"/>
    <w:rsid w:val="000F089E"/>
    <w:rsid w:val="00106206"/>
    <w:rsid w:val="0013573B"/>
    <w:rsid w:val="00135DB4"/>
    <w:rsid w:val="00240C3A"/>
    <w:rsid w:val="002E0158"/>
    <w:rsid w:val="002E270F"/>
    <w:rsid w:val="002F3D72"/>
    <w:rsid w:val="003E770E"/>
    <w:rsid w:val="0049234F"/>
    <w:rsid w:val="00595168"/>
    <w:rsid w:val="005B4CEE"/>
    <w:rsid w:val="006A086A"/>
    <w:rsid w:val="00782FDA"/>
    <w:rsid w:val="007D0257"/>
    <w:rsid w:val="007F687F"/>
    <w:rsid w:val="008131E3"/>
    <w:rsid w:val="00835C2C"/>
    <w:rsid w:val="00857BFE"/>
    <w:rsid w:val="00874E1D"/>
    <w:rsid w:val="00886BEF"/>
    <w:rsid w:val="008B0C77"/>
    <w:rsid w:val="008B7424"/>
    <w:rsid w:val="008C6010"/>
    <w:rsid w:val="008D5336"/>
    <w:rsid w:val="00904B96"/>
    <w:rsid w:val="009611F6"/>
    <w:rsid w:val="009D2284"/>
    <w:rsid w:val="00A37BC1"/>
    <w:rsid w:val="00BC1309"/>
    <w:rsid w:val="00C2060D"/>
    <w:rsid w:val="00DE61D3"/>
    <w:rsid w:val="00E57D95"/>
    <w:rsid w:val="00E761BA"/>
    <w:rsid w:val="00F31D46"/>
    <w:rsid w:val="00F576B7"/>
    <w:rsid w:val="00F8422D"/>
    <w:rsid w:val="00FF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10598"/>
  <w15:docId w15:val="{1DC7D07A-BE2F-47CB-A7B5-80C6D71F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206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C2060D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C206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C2060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F887B-D3BD-45F4-8EC6-7926EABDD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3494</Words>
  <Characters>8876</Characters>
  <Application>Microsoft Office Word</Application>
  <DocSecurity>0</DocSecurity>
  <Lines>739</Lines>
  <Paragraphs>824</Paragraphs>
  <ScaleCrop>false</ScaleCrop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 Lu</cp:lastModifiedBy>
  <cp:revision>13</cp:revision>
  <dcterms:created xsi:type="dcterms:W3CDTF">2026-03-22T14:03:00Z</dcterms:created>
  <dcterms:modified xsi:type="dcterms:W3CDTF">2026-03-22T15:14:00Z</dcterms:modified>
</cp:coreProperties>
</file>