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364A6">
      <w:pPr>
        <w:keepNext/>
        <w:spacing w:after="80"/>
        <w:jc w:val="left"/>
      </w:pPr>
      <w:r>
        <w:rPr>
          <w:rFonts w:ascii="Arial" w:hAnsi="Arial" w:eastAsia="微软雅黑" w:cs="Arial"/>
          <w:b/>
          <w:color w:val="17365D"/>
          <w:sz w:val="48"/>
        </w:rPr>
        <w:t>Point-to-plane ICP 实验报告</w:t>
      </w:r>
    </w:p>
    <w:p w14:paraId="533FCE7B">
      <w:pPr>
        <w:keepNext/>
        <w:spacing w:after="120"/>
        <w:rPr>
          <w:i w:val="0"/>
          <w:iCs/>
        </w:rPr>
      </w:pPr>
      <w:r>
        <w:rPr>
          <w:rFonts w:ascii="Arial" w:hAnsi="Arial" w:eastAsia="微软雅黑" w:cs="Arial"/>
          <w:color w:val="354052"/>
          <w:sz w:val="21"/>
        </w:rPr>
        <w:t>基于 Assignment2 sample ICP 项目的点到面 ICP 实现、3DMatch 测试与 ETH Apartment 补充实验</w:t>
      </w:r>
    </w:p>
    <w:p w14:paraId="72A2AC1F">
      <w:pPr>
        <w:keepNext/>
        <w:spacing w:after="200"/>
      </w:pPr>
      <w:r>
        <w:rPr>
          <w:rFonts w:ascii="Arial" w:hAnsi="Arial" w:eastAsia="微软雅黑" w:cs="Arial"/>
          <w:color w:val="5B6573"/>
          <w:sz w:val="17"/>
        </w:rPr>
        <w:t>Dataset: 3DMatch Geometric Registration Benchmark + ETH Apartment | Protocol: 3DMatch perturbed-ground-truth refinement + official ETH Apartment iT / gT protocol | Date: 2026-05-31</w:t>
      </w:r>
    </w:p>
    <w:p w14:paraId="65ED0903">
      <w:pPr>
        <w:pStyle w:val="3"/>
      </w:pPr>
      <w:r>
        <w:rPr>
          <w:rFonts w:ascii="Arial" w:hAnsi="Arial" w:eastAsia="微软雅黑" w:cs="Arial"/>
          <w:b/>
          <w:color w:val="1F4E79"/>
          <w:sz w:val="32"/>
        </w:rPr>
        <w:t>Problem</w:t>
      </w:r>
    </w:p>
    <w:p w14:paraId="19F271AC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本实验的目标是在项目提供的 basic ICP 框架上实现 point-to-plane ICP，并验证它在真实 RGB-D 点云片段配准中的局部优化能力。原始 point-to-point ICP 通过最小化最近邻点之间的欧氏距离更新刚体变换，但在室内点云中会受到采样密度、重叠区域和错误对应的影响。</w:t>
      </w:r>
    </w:p>
    <w:p w14:paraId="787ACA4A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Point-to-Plane ICP 将目标点云法向量纳入残差，以源点到目标局部切平面的有符号距离作为优化目标。初始位姿接近正确解时，这一目标通常比点到点距离更快收敛，并能得到更准确的局部配准结果。</w:t>
      </w:r>
    </w:p>
    <w:p w14:paraId="47887BA4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测试数据采用 3DMatch Geometric Registration Benchmark。该数据集包含 8 个真实室内 RGB-D 场景的 TSDF 融合点云片段和官方 evaluation files，是三维点云配准研究中常用的基准之一。</w:t>
      </w:r>
    </w:p>
    <w:p w14:paraId="1FDD78A6">
      <w:r>
        <w:rPr>
          <w:rFonts w:ascii="Arial" w:hAnsi="Arial" w:eastAsia="微软雅黑" w:cs="Arial"/>
          <w:color w:val="1F1F1F"/>
          <w:sz w:val="21"/>
        </w:rPr>
        <w:t>3DMatch 面向室内 RGB-D fragment registration：点云片段由深度帧融合形成，适合评估 Point-to-Plane ICP 在室内重建片段上的局部配准性能。为检验算法面对不同传感器来源、点云尺度和噪声模式时的表现，本报告补充 ETH Challenging Data Sets for Point Cloud Registration Algorithms 中的 Apartment 场景。两组实验都以合理初始位姿为前提，不将 ICP 作为无初值全局配准方法。</w:t>
      </w:r>
    </w:p>
    <w:p w14:paraId="18C95BAE">
      <w:pPr>
        <w:pStyle w:val="3"/>
      </w:pPr>
      <w:r>
        <w:rPr>
          <w:rFonts w:ascii="Arial" w:hAnsi="Arial" w:eastAsia="微软雅黑" w:cs="Arial"/>
          <w:b/>
          <w:color w:val="1F4E79"/>
          <w:sz w:val="32"/>
        </w:rPr>
        <w:t>Algorithm</w:t>
      </w:r>
    </w:p>
    <w:p w14:paraId="1F1DEC69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给定源点云 P、目标点云 Q 和目标点法向量 n，算法在每轮迭代中先对当前源点寻找最近邻 q_i，然后构建点到面残差：</w:t>
      </w:r>
    </w:p>
    <w:p w14:paraId="65519EF5">
      <w:pPr>
        <w:pStyle w:val="164"/>
        <w:spacing w:after="20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i</m:t>
              </m:r>
            </m:sub>
          </m:sSub>
          <m:r>
            <m:rPr/>
            <m:t xml:space="preserve"> = </m:t>
          </m:r>
          <m:sSup>
            <m:sSupPr/>
            <m:e>
              <m:sSub>
                <m:sSubPr/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e>
            <m:sup>
              <m:r>
                <m:rPr/>
                <m:t>T</m:t>
              </m:r>
            </m:sup>
          </m:sSup>
          <m:r>
            <m:rPr/>
            <m:t xml:space="preserve"> (R 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r>
                <m:rPr/>
                <m:t>i</m:t>
              </m:r>
            </m:sub>
          </m:sSub>
          <m:r>
            <m:rPr/>
            <m:t xml:space="preserve"> + </m:t>
          </m:r>
          <m:r>
            <m:rPr>
              <m:sty m:val="b"/>
            </m:rPr>
            <m:t>t</m:t>
          </m:r>
          <m:r>
            <m:rPr/>
            <m:t xml:space="preserve"> − </m:t>
          </m:r>
          <m:sSub>
            <m:sSubPr/>
            <m:e>
              <m:r>
                <m:rPr>
                  <m:sty m:val="b"/>
                </m:rPr>
                <m:t>q</m:t>
              </m:r>
            </m:e>
            <m:sub>
              <m:r>
                <m:rPr/>
                <m:t>i</m:t>
              </m:r>
            </m:sub>
          </m:sSub>
          <m:r>
            <m:rPr/>
            <m:t>)</m:t>
          </m:r>
        </m:oMath>
      </m:oMathPara>
    </w:p>
    <w:p w14:paraId="1FBEE8C0">
      <w:pPr>
        <w:spacing w:after="60" w:before="60"/>
        <w:jc w:val="center"/>
      </w:pPr>
      <w:r>
        <w:rPr>
          <w:rFonts w:ascii="Cambria Math" w:hAnsi="Cambria Math" w:eastAsia="Cambria Math" w:cs="Cambria Math"/>
        </w:rPr>
        <w:t xml:space="preserve">在当前位姿附近对小增量 </w:t>
      </w:r>
      <m:oMath>
        <m:r>
          <m:rPr>
            <m:sty m:val="b"/>
          </m:rPr>
          <m:t>ξ</m:t>
        </m:r>
        <m:r>
          <m:rPr/>
          <m:t xml:space="preserve"> = </m:t>
        </m:r>
        <m:sSup>
          <m:sSupPr/>
          <m:e>
            <m:r>
              <m:rPr/>
              <m:t>[</m:t>
            </m:r>
            <m:sSub>
              <m:sSubPr/>
              <m:e>
                <m:r>
                  <m:rPr/>
                  <m:t>ω</m:t>
                </m:r>
              </m:e>
              <m:sub>
                <m:r>
                  <m:rPr/>
                  <m:t>x</m:t>
                </m:r>
              </m:sub>
            </m:sSub>
            <m:r>
              <m:rPr/>
              <m:t xml:space="preserve">, </m:t>
            </m:r>
            <m:sSub>
              <m:sSubPr/>
              <m:e>
                <m:r>
                  <m:rPr/>
                  <m:t>ω</m:t>
                </m:r>
              </m:e>
              <m:sub>
                <m:r>
                  <m:rPr/>
                  <m:t>y</m:t>
                </m:r>
              </m:sub>
            </m:sSub>
            <m:r>
              <m:rPr/>
              <m:t xml:space="preserve">, </m:t>
            </m:r>
            <m:sSub>
              <m:sSubPr/>
              <m:e>
                <m:r>
                  <m:rPr/>
                  <m:t>ω</m:t>
                </m:r>
              </m:e>
              <m:sub>
                <m:r>
                  <m:rPr/>
                  <m:t>z</m:t>
                </m:r>
              </m:sub>
            </m:sSub>
            <m:r>
              <m:rPr/>
              <m:t xml:space="preserve">, 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x</m:t>
                </m:r>
              </m:sub>
            </m:sSub>
            <m:r>
              <m:rPr/>
              <m:t xml:space="preserve">, 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y</m:t>
                </m:r>
              </m:sub>
            </m:sSub>
            <m:r>
              <m:rPr/>
              <m:t xml:space="preserve">, </m:t>
            </m:r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z</m:t>
                </m:r>
              </m:sub>
            </m:sSub>
            <m:r>
              <m:rPr/>
              <m:t>]</m:t>
            </m:r>
          </m:e>
          <m:sup>
            <m:r>
              <m:rPr>
                <m:sty m:val="p"/>
              </m:rPr>
              <m:t>T</m:t>
            </m:r>
          </m:sup>
        </m:sSup>
      </m:oMath>
      <w:r>
        <w:rPr>
          <w:rFonts w:ascii="Cambria Math" w:hAnsi="Cambria Math" w:eastAsia="Cambria Math" w:cs="Cambria Math"/>
        </w:rPr>
        <w:t xml:space="preserve"> 做一阶线性化，可得到以下最小二乘系统：</w:t>
      </w:r>
    </w:p>
    <w:p w14:paraId="3A728CC2">
      <w:pPr>
        <w:pStyle w:val="164"/>
        <w:spacing w:after="20"/>
      </w:pPr>
      <m:oMathPara>
        <m:oMathParaPr>
          <m:jc m:val="center"/>
        </m:oMathParaPr>
        <m:oMath>
          <m:r>
            <m:rPr/>
            <m:t>[</m:t>
          </m:r>
          <m:sSup>
            <m:sSupPr/>
            <m:e>
              <m:r>
                <m:rPr/>
                <m:t>(</m:t>
              </m:r>
              <m:sSub>
                <m:sSubPr/>
                <m:e>
                  <m:r>
                    <m:rPr>
                      <m:sty m:val="b"/>
                    </m:rPr>
                    <m:t>p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/>
                <m:t xml:space="preserve"> × </m:t>
              </m:r>
              <m:sSub>
                <m:sSubPr/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/>
                <m:t>)</m:t>
              </m:r>
            </m:e>
            <m:sup>
              <m:r>
                <m:rPr>
                  <m:sty m:val="p"/>
                </m:rPr>
                <m:t>T</m:t>
              </m:r>
            </m:sup>
          </m:sSup>
          <m:r>
            <m:rPr/>
            <m:t xml:space="preserve">    </m:t>
          </m:r>
          <m:sSup>
            <m:sSupPr/>
            <m:e>
              <m:sSub>
                <m:sSubPr/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e>
            <m:sup>
              <m:r>
                <m:rPr/>
                <m:t>T</m:t>
              </m:r>
            </m:sup>
          </m:sSup>
          <m:r>
            <m:rPr/>
            <m:t xml:space="preserve">] </m:t>
          </m:r>
          <m:r>
            <m:rPr>
              <m:sty m:val="b"/>
            </m:rPr>
            <m:t>ξ</m:t>
          </m:r>
          <m:r>
            <m:rPr/>
            <m:t xml:space="preserve"> = − </m:t>
          </m:r>
          <m:sSup>
            <m:sSupPr/>
            <m:e>
              <m:sSub>
                <m:sSubPr/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rPr/>
                    <m:t>i</m:t>
                  </m:r>
                </m:sub>
              </m:sSub>
            </m:e>
            <m:sup>
              <m:r>
                <m:rPr/>
                <m:t>T</m:t>
              </m:r>
            </m:sup>
          </m:sSup>
          <m:r>
            <m:rPr/>
            <m:t xml:space="preserve"> (</m:t>
          </m:r>
          <m:sSub>
            <m:sSubPr/>
            <m:e>
              <m:r>
                <m:rPr>
                  <m:sty m:val="b"/>
                </m:rPr>
                <m:t>p</m:t>
              </m:r>
            </m:e>
            <m:sub>
              <m:r>
                <m:rPr/>
                <m:t>i</m:t>
              </m:r>
            </m:sub>
          </m:sSub>
          <m:r>
            <m:rPr/>
            <m:t xml:space="preserve"> − </m:t>
          </m:r>
          <m:sSub>
            <m:sSubPr/>
            <m:e>
              <m:r>
                <m:rPr>
                  <m:sty m:val="b"/>
                </m:rPr>
                <m:t>q</m:t>
              </m:r>
            </m:e>
            <m:sub>
              <m:r>
                <m:rPr/>
                <m:t>i</m:t>
              </m:r>
            </m:sub>
          </m:sSub>
          <m:r>
            <m:rPr/>
            <m:t>)</m:t>
          </m:r>
        </m:oMath>
      </m:oMathPara>
    </w:p>
    <w:p w14:paraId="40061D08">
      <w:pPr>
        <w:pStyle w:val="14"/>
        <w:spacing w:after="80"/>
      </w:pPr>
      <w:r>
        <w:rPr>
          <w:rFonts w:ascii="Arial" w:hAnsi="Arial" w:eastAsia="微软雅黑" w:cs="Arial"/>
          <w:color w:val="1F1F1F"/>
          <w:sz w:val="21"/>
        </w:rPr>
        <w:t>读取源点云、目标点云和目标法向量；如果未提供法向量，则使用局部 PCA 估计。</w:t>
      </w:r>
    </w:p>
    <w:p w14:paraId="445A257C">
      <w:pPr>
        <w:pStyle w:val="14"/>
        <w:spacing w:after="80"/>
      </w:pPr>
      <w:r>
        <w:rPr>
          <w:rFonts w:ascii="Arial" w:hAnsi="Arial" w:eastAsia="微软雅黑" w:cs="Arial"/>
          <w:color w:val="1F1F1F"/>
          <w:sz w:val="21"/>
        </w:rPr>
        <w:t>使用最近邻搜索建立源点到目标点的临时对应关系，并按最大对应距离过滤异常对应。</w:t>
      </w:r>
    </w:p>
    <w:p w14:paraId="14CCF38E">
      <w:pPr>
        <w:pStyle w:val="14"/>
        <w:spacing w:after="80"/>
      </w:pPr>
      <w:r>
        <w:rPr>
          <w:rFonts w:ascii="Arial" w:hAnsi="Arial" w:eastAsia="微软雅黑" w:cs="Arial"/>
          <w:color w:val="1F1F1F"/>
          <w:sz w:val="21"/>
        </w:rPr>
        <w:t>用有效对应构造 6 维线性系统，调用 least squares 求解 se(3) 增量。</w:t>
      </w:r>
    </w:p>
    <w:p w14:paraId="39993C1A">
      <w:pPr>
        <w:pStyle w:val="14"/>
        <w:spacing w:after="80"/>
      </w:pPr>
      <w:r>
        <w:rPr>
          <w:rFonts w:ascii="Arial" w:hAnsi="Arial" w:eastAsia="微软雅黑" w:cs="Arial"/>
          <w:color w:val="1F1F1F"/>
          <w:sz w:val="21"/>
        </w:rPr>
        <w:t>将旋转向量通过 Rodrigues 公式转换为旋转矩阵，并左乘更新累计 4x4 位姿矩阵。</w:t>
      </w:r>
    </w:p>
    <w:p w14:paraId="0FED6E68">
      <w:pPr>
        <w:pStyle w:val="14"/>
        <w:spacing w:after="80"/>
      </w:pPr>
      <w:r>
        <w:rPr>
          <w:rFonts w:ascii="Arial" w:hAnsi="Arial" w:eastAsia="微软雅黑" w:cs="Arial"/>
          <w:color w:val="1F1F1F"/>
          <w:sz w:val="21"/>
        </w:rPr>
        <w:t>当平均绝对 point-to-plane residual 的变化小于 tolerance 或达到最大迭代次数时停止。</w:t>
      </w:r>
    </w:p>
    <w:p w14:paraId="7E82BFDF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ICP 属于局部优化方法。因此，3DMatch 实验不采用无初值全局配准协议，而是在官方真值位姿上加入固定扰动作为初值，评估算法能否将位姿 refinement 回正确配准附近。</w:t>
      </w:r>
    </w:p>
    <w:p w14:paraId="21B3757B">
      <w:r>
        <w:rPr>
          <w:rFonts w:ascii="Arial" w:hAnsi="Arial" w:eastAsia="微软雅黑" w:cs="Arial"/>
          <w:color w:val="1F1F1F"/>
          <w:sz w:val="21"/>
        </w:rPr>
        <w:t>同一套 point_to_plane_icp 核心算法同时用于 3DMatch 和 ETH，算法本身不依赖具体数据集。两者的区别主要在输入点云来源、点云尺度和 benchmark preprocessing 参数，而不是 ICP 残差、线性化或 SE(3) 增量更新公式。</w:t>
      </w:r>
    </w:p>
    <w:p w14:paraId="61BBF4D3">
      <w:r>
        <w:rPr>
          <w:rFonts w:ascii="Arial" w:hAnsi="Arial" w:eastAsia="微软雅黑" w:cs="Arial"/>
          <w:color w:val="1F1F1F"/>
          <w:sz w:val="21"/>
        </w:rPr>
        <w:t>对于 ETH laser scan registration，target 法向量估计仍是重要步骤。ETH 点云密度和场景尺度与 3DMatch RGB-D fragment 不同，因此 voxel size、normal estimation radius、max correspondence distance 和成功阈值需要单独调试。</w:t>
      </w:r>
    </w:p>
    <w:p w14:paraId="70F4282D">
      <w:pPr>
        <w:pStyle w:val="3"/>
      </w:pPr>
      <w:r>
        <w:rPr>
          <w:rFonts w:ascii="Arial" w:hAnsi="Arial" w:eastAsia="微软雅黑" w:cs="Arial"/>
          <w:b/>
          <w:color w:val="1F4E79"/>
          <w:sz w:val="32"/>
        </w:rPr>
        <w:t>Code</w:t>
      </w:r>
    </w:p>
    <w:p w14:paraId="598BF666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实现保留原始 Point-to-Point ICP 入口，并新增 3D 专用的 point_to_plane_icp。Open3D 用于数据读取、体素下采样、目标点云法向估计和可选交互式可视化；Matplotlib 用于输出两组数据集统一格式的 before / after 3D 网格坐标系 PNG。点到面最小二乘更新由本项目代码完成。</w:t>
      </w:r>
    </w:p>
    <w:p w14:paraId="48FE8EBB">
      <w:r>
        <w:rPr>
          <w:rFonts w:ascii="Arial" w:hAnsi="Arial" w:eastAsia="微软雅黑" w:cs="Arial"/>
          <w:color w:val="1F1F1F"/>
          <w:sz w:val="21"/>
        </w:rPr>
        <w:t>ETH benchmark 复用 icp.py 中的 Point-to-Plane ICP 和 Point-to-Point ICP。新增代码负责 ETH Apartment 数据下载、scanner-frame CSV 读取、官方 iT / gT 协议解析、overlap 筛选、参数调试、指标统计和 demo 图片生成。3DMatch 与 ETH 共用 eval_utils.py 中的 RMSE、RRE、RTE、Recall、runtime 和 success-only 指标统计逻辑。</w:t>
      </w:r>
    </w:p>
    <w:tbl>
      <w:tblPr>
        <w:tblStyle w:val="32"/>
        <w:tblW w:w="912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  <w:tblInd w:w="12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2200"/>
        <w:gridCol w:w="6920"/>
      </w:tblGrid>
      <w:tr w14:paraId="30784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9EAF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1FB45F04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/>
                <w:sz w:val="16"/>
              </w:rPr>
              <w:t>文件</w:t>
            </w:r>
          </w:p>
        </w:tc>
        <w:tc>
          <w:tcPr>
            <w:tcW w:w="69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9EAF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116A9940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/>
                <w:sz w:val="16"/>
              </w:rPr>
              <w:t>作用</w:t>
            </w:r>
          </w:p>
        </w:tc>
      </w:tr>
      <w:tr w14:paraId="7F18F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311BA5F6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icp.py</w:t>
            </w:r>
          </w:p>
        </w:tc>
        <w:tc>
          <w:tcPr>
            <w:tcW w:w="69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57291C0D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新增 point_to_plane_icp、法向估计、SE(3) 增量和点云变换工具，同时保留原始 ICP 接口。</w:t>
            </w:r>
          </w:p>
        </w:tc>
      </w:tr>
      <w:tr w14:paraId="1801C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3E3E3FD9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test.py</w:t>
            </w:r>
          </w:p>
        </w:tc>
        <w:tc>
          <w:tcPr>
            <w:tcW w:w="69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417D9E7C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保留原测试，并新增 cube surface 合成测试，验证 point-to-plane ICP 能恢复已知刚体变换。</w:t>
            </w:r>
          </w:p>
        </w:tc>
      </w:tr>
      <w:tr w14:paraId="1B92E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1BED0D75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download_3dmatch.py</w:t>
            </w:r>
          </w:p>
        </w:tc>
        <w:tc>
          <w:tcPr>
            <w:tcW w:w="69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4587C428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从 3DMatch 官方页面解析下载链接，下载并解压 8 个场景和 evaluation files。</w:t>
            </w:r>
          </w:p>
        </w:tc>
      </w:tr>
      <w:tr w14:paraId="0B980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3B93A399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benchmark_3dmatch.py</w:t>
            </w:r>
          </w:p>
        </w:tc>
        <w:tc>
          <w:tcPr>
            <w:tcW w:w="69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71012440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解析 gt.log，执行本地 refinement benchmark，输出 CSV 和 JSON 指标。</w:t>
            </w:r>
          </w:p>
        </w:tc>
      </w:tr>
      <w:tr w14:paraId="24F00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5C30BC3A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demo_point_to_plane.py</w:t>
            </w:r>
          </w:p>
        </w:tc>
        <w:tc>
          <w:tcPr>
            <w:tcW w:w="69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69B62410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加载 3DMatch redkitchen 示例对，输出带 3D 网格坐标系的 before / after PNG；可通过 --show-window 额外打开 Open3D 交互窗口。</w:t>
            </w:r>
          </w:p>
        </w:tc>
      </w:tr>
      <w:tr w14:paraId="11393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5A942CD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download_eth.py</w:t>
            </w:r>
          </w:p>
        </w:tc>
        <w:tc>
          <w:tcPr>
            <w:tcW w:w="692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00177A9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从 ETH 官方入口流式下载 Apartment 与 evaluations 归档，支持 .part 断点续传；选择性解压 Hokuyo_*.csv、pose_scanner_leica.csv、overlap_apartment.csv 和官方 protocol / validation 文件。</w:t>
            </w:r>
          </w:p>
        </w:tc>
      </w:tr>
      <w:tr w14:paraId="00750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731F0FBF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benchmark_eth.py</w:t>
            </w:r>
          </w:p>
        </w:tc>
        <w:tc>
          <w:tcPr>
            <w:tcW w:w="692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59B74C0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解析 ETH 官方 Apartment iT / gT 协议，核对 reading-to-reference 位姿方向，按 overlap 筛选，支持固定子集调参和 scan-pair 多进程评测，输出 CSV / JSON 指标。</w:t>
            </w:r>
          </w:p>
        </w:tc>
      </w:tr>
      <w:tr w14:paraId="0EC5D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2962735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demo_eth.py</w:t>
            </w:r>
          </w:p>
        </w:tc>
        <w:tc>
          <w:tcPr>
            <w:tcW w:w="692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789F381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从成功配准对生成 ETH Apartment before / after overlay PNG，与 3DMatch 共用绘图模块：target 为灰色、initial source 为红色、aligned source 为绿色。</w:t>
            </w:r>
          </w:p>
        </w:tc>
      </w:tr>
      <w:tr w14:paraId="32EF4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1CC7000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eval_utils.py</w:t>
            </w:r>
          </w:p>
        </w:tc>
        <w:tc>
          <w:tcPr>
            <w:tcW w:w="692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1A168435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提供 3DMatch 与 ETH 共用的 RMSE、RRE、RTE、recall、runtime 和 success-only 指标统计。</w:t>
            </w:r>
          </w:p>
        </w:tc>
      </w:tr>
      <w:tr w14:paraId="780AC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220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109C1017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ETH argparse 参数入口</w:t>
            </w:r>
          </w:p>
        </w:tc>
        <w:tc>
          <w:tcPr>
            <w:tcW w:w="6920" w:type="dxa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08B89BB7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沿用项目 argparse 风格，支持 --tune-only、--tuning-json、--min-overlap、--workers 等参数。</w:t>
            </w:r>
          </w:p>
        </w:tc>
      </w:tr>
    </w:tbl>
    <w:p w14:paraId="192F9381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核心求解片段如下：</w:t>
      </w:r>
    </w:p>
    <w:p w14:paraId="1A2F5ECB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residuals = np.sum(normal_corr * (src_corr - dst_corr), axis=1)</w:t>
      </w:r>
    </w:p>
    <w:p w14:paraId="2FFBD4C3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lhs[:, :3] = np.cross(src_corr, normal_corr)</w:t>
      </w:r>
    </w:p>
    <w:p w14:paraId="7E0437A4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lhs[:, 3:] = normal_corr</w:t>
      </w:r>
    </w:p>
    <w:p w14:paraId="05B3F624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rhs = -residuals</w:t>
      </w:r>
    </w:p>
    <w:p w14:paraId="729EE1AE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increment, _, _, _ = np.linalg.lstsq(lhs, rhs, rcond=None)</w:t>
      </w:r>
    </w:p>
    <w:p w14:paraId="7C07A70F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T_total = np.dot(pose_from_increment(increment), T_total)</w:t>
      </w:r>
    </w:p>
    <w:p w14:paraId="6F6CB9F3">
      <w:pPr>
        <w:pStyle w:val="3"/>
      </w:pPr>
      <w:r>
        <w:rPr>
          <w:rFonts w:ascii="Arial" w:hAnsi="Arial" w:eastAsia="微软雅黑" w:cs="Arial"/>
          <w:b/>
          <w:color w:val="1F4E79"/>
          <w:sz w:val="32"/>
        </w:rPr>
        <w:t>Test</w:t>
      </w:r>
    </w:p>
    <w:p w14:paraId="43908DAF">
      <w:pPr>
        <w:pStyle w:val="4"/>
      </w:pPr>
      <w:r>
        <w:rPr>
          <w:rFonts w:ascii="Arial" w:hAnsi="Arial" w:eastAsia="微软雅黑" w:cs="Arial"/>
          <w:b/>
          <w:color w:val="2F75B5"/>
          <w:sz w:val="26"/>
        </w:rPr>
        <w:t>3DMatch benchmark</w:t>
      </w:r>
    </w:p>
    <w:p w14:paraId="1B5FBB48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实验环境为 Windows 11、Python 3.12.8、Open3D 0.19.0、NumPy 1.26.4、scikit-learn 1.5.1。验证命令如下：</w:t>
      </w:r>
    </w:p>
    <w:p w14:paraId="7C743B42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python test.py</w:t>
      </w:r>
    </w:p>
    <w:p w14:paraId="0E36351A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python -c "import open3d as o3d; print(o3d.__version__)"</w:t>
      </w:r>
    </w:p>
    <w:p w14:paraId="5FA4DE06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python download_3dmatch.py --output data/3dmatch</w:t>
      </w:r>
    </w:p>
    <w:p w14:paraId="6164228E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python demo_point_to_plane.py --dataset data/3dmatch --output results/3dmatch/redkitchen_demo.png</w:t>
      </w:r>
    </w:p>
    <w:p w14:paraId="68596A68">
      <w:pPr>
        <w:pStyle w:val="164"/>
        <w:spacing w:after="20"/>
      </w:pPr>
      <w:r>
        <w:rPr>
          <w:rFonts w:ascii="Consolas" w:hAnsi="Consolas" w:eastAsia="Consolas" w:cs="Consolas"/>
          <w:color w:val="202020"/>
          <w:sz w:val="18"/>
        </w:rPr>
        <w:t>python benchmark_3dmatch.py --dataset data/3dmatch --results-dir results/full --voxel-size 0.05 --max-iterations 50</w:t>
      </w:r>
    </w:p>
    <w:p w14:paraId="3986E6D2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完整 benchmark 包含 8 个 3DMatch 场景，共 1623 个官方正样本片段对。每个片段对用真值变换加入随机扰动作为初值，扰动上限为 5 度旋转和 0.20 m 平移；成功阈值采用 registration RMSE &lt; 0.20 m。</w:t>
      </w:r>
    </w:p>
    <w:p w14:paraId="4D307E98">
      <w:pPr>
        <w:pStyle w:val="TableCaption"/>
        <w:keepNext/>
        <w:spacing w:before="100" w:after="40"/>
      </w:pPr>
      <w:r>
        <w:rPr>
          <w:rFonts w:ascii="Arial" w:hAnsi="Arial" w:eastAsia="微软雅黑" w:cs="Arial"/>
          <w:b/>
          <w:color w:val="1F4E79"/>
          <w:sz w:val="20"/>
        </w:rPr>
        <w:t>基础指标</w:t>
      </w:r>
    </w:p>
    <w:tbl>
      <w:tblPr>
        <w:tblStyle w:val="33"/>
        <w:tblW w:w="9120" w:type="dxa"/>
        <w:jc w:val="left"/>
        <w:tblInd w:w="12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200"/>
        <w:gridCol w:w="1200"/>
        <w:gridCol w:w="2200"/>
        <w:gridCol w:w="2320"/>
      </w:tblGrid>
      <w:tr w14:paraId="5C6FC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cantSplit w:val="true"/>
        </w:trPr>
        <w:tc>
          <w:tcPr>
            <w:tcW w:w="220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30B1E14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方法</w:t>
            </w:r>
          </w:p>
        </w:tc>
        <w:tc>
          <w:tcPr>
            <w:tcW w:w="120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0555BB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Pairs</w:t>
            </w:r>
          </w:p>
        </w:tc>
        <w:tc>
          <w:tcPr>
            <w:tcW w:w="120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39BD5A6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Recall</w:t>
            </w:r>
          </w:p>
        </w:tc>
        <w:tc>
          <w:tcPr>
            <w:tcW w:w="220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4A70DDA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Median RMSE</w:t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(m)</w:t>
            </w:r>
          </w:p>
        </w:tc>
        <w:tc>
          <w:tcPr>
            <w:tcW w:w="232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2EBF3D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Average runtime</w:t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(s)</w:t>
            </w:r>
          </w:p>
        </w:tc>
      </w:tr>
      <w:tr w14:paraId="5FB8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20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4237609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Point-to-Plane ICP</w:t>
            </w:r>
          </w:p>
        </w:tc>
        <w:tc>
          <w:tcPr>
            <w:tcW w:w="120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5CD6F6A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1623</w:t>
            </w:r>
          </w:p>
        </w:tc>
        <w:tc>
          <w:tcPr>
            <w:tcW w:w="120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1582F77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92.61%</w:t>
            </w:r>
          </w:p>
        </w:tc>
        <w:tc>
          <w:tcPr>
            <w:tcW w:w="220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5E7B868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0.0570</w:t>
            </w:r>
          </w:p>
        </w:tc>
        <w:tc>
          <w:tcPr>
            <w:tcW w:w="232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693B23A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0.213</w:t>
            </w:r>
          </w:p>
        </w:tc>
      </w:tr>
      <w:tr w14:paraId="3F266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20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30FDA59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Point-to-Point ICP</w:t>
            </w:r>
          </w:p>
        </w:tc>
        <w:tc>
          <w:tcPr>
            <w:tcW w:w="120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349D12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1623</w:t>
            </w:r>
          </w:p>
        </w:tc>
        <w:tc>
          <w:tcPr>
            <w:tcW w:w="120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405256C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18.36%</w:t>
            </w:r>
          </w:p>
        </w:tc>
        <w:tc>
          <w:tcPr>
            <w:tcW w:w="220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CD2C03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0.5916</w:t>
            </w:r>
          </w:p>
        </w:tc>
        <w:tc>
          <w:tcPr>
            <w:tcW w:w="232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6B5B6EE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0.408</w:t>
            </w:r>
          </w:p>
        </w:tc>
      </w:tr>
    </w:tbl>
    <w:p w14:paraId="0D4C5B02">
      <w:pPr>
        <w:spacing w:before="0" w:after="0" w:line="40" w:lineRule="exact"/>
      </w:pPr>
    </w:p>
    <w:p w14:paraId="5C6E2931">
      <w:pPr>
        <w:pStyle w:val="TableCaption"/>
        <w:keepNext/>
        <w:spacing w:before="100" w:after="40"/>
      </w:pPr>
      <w:r>
        <w:rPr>
          <w:rFonts w:ascii="Arial" w:hAnsi="Arial" w:eastAsia="微软雅黑" w:cs="Arial"/>
          <w:b/>
          <w:color w:val="1F4E79"/>
          <w:sz w:val="20"/>
        </w:rPr>
        <w:t>All pairs</w:t>
      </w:r>
    </w:p>
    <w:tbl>
      <w:tblPr>
        <w:tblStyle w:val="33"/>
        <w:tblW w:w="9120" w:type="dxa"/>
        <w:jc w:val="left"/>
        <w:tblInd w:w="12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730"/>
        <w:gridCol w:w="1730"/>
        <w:gridCol w:w="1730"/>
        <w:gridCol w:w="1730"/>
      </w:tblGrid>
      <w:tr w14:paraId="55757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 w:val="true"/>
          <w:cantSplit w:val="true"/>
        </w:trPr>
        <w:tc>
          <w:tcPr>
            <w:tcW w:w="220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5F951CE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方法</w:t>
            </w:r>
          </w:p>
        </w:tc>
        <w:tc>
          <w:tcPr>
            <w:tcW w:w="173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07C770C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Mean RRE</w:t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(deg)</w:t>
            </w:r>
          </w:p>
        </w:tc>
        <w:tc>
          <w:tcPr>
            <w:tcW w:w="173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1D775B4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Median RRE</w:t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(deg)</w:t>
            </w:r>
          </w:p>
        </w:tc>
        <w:tc>
          <w:tcPr>
            <w:tcW w:w="173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167756B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Mean RTE</w:t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(m)</w:t>
            </w:r>
          </w:p>
        </w:tc>
        <w:tc>
          <w:tcPr>
            <w:tcW w:w="173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5473525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Median RTE</w:t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7"/>
              </w:rPr>
              <w:t>(m)</w:t>
            </w:r>
          </w:p>
        </w:tc>
      </w:tr>
      <w:tr w14:paraId="6F904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20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690525A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Point-to-Plane ICP</w:t>
            </w:r>
          </w:p>
        </w:tc>
        <w:tc>
          <w:tcPr>
            <w:tcW w:w="173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45E8418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3.132</w:t>
            </w:r>
          </w:p>
        </w:tc>
        <w:tc>
          <w:tcPr>
            <w:tcW w:w="173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C0911A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1.918</w:t>
            </w:r>
          </w:p>
        </w:tc>
        <w:tc>
          <w:tcPr>
            <w:tcW w:w="173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69DABC1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0.3877</w:t>
            </w:r>
          </w:p>
        </w:tc>
        <w:tc>
          <w:tcPr>
            <w:tcW w:w="173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6818BB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0.0687</w:t>
            </w:r>
          </w:p>
        </w:tc>
      </w:tr>
      <w:tr w14:paraId="0D533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20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6B0A24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Point-to-Point ICP</w:t>
            </w:r>
          </w:p>
        </w:tc>
        <w:tc>
          <w:tcPr>
            <w:tcW w:w="173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4AD62AF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22.090</w:t>
            </w:r>
          </w:p>
        </w:tc>
        <w:tc>
          <w:tcPr>
            <w:tcW w:w="173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3B90B86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14.420</w:t>
            </w:r>
          </w:p>
        </w:tc>
        <w:tc>
          <w:tcPr>
            <w:tcW w:w="173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5806F92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0.7457</w:t>
            </w:r>
          </w:p>
        </w:tc>
        <w:tc>
          <w:tcPr>
            <w:tcW w:w="173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0EEC351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7"/>
              </w:rPr>
              <w:t>0.5115</w:t>
            </w:r>
          </w:p>
        </w:tc>
      </w:tr>
    </w:tbl>
    <w:p w14:paraId="5F423711">
      <w:pPr>
        <w:spacing w:before="0" w:after="0" w:line="40" w:lineRule="exact"/>
      </w:pPr>
    </w:p>
    <w:p w14:paraId="3393B00E">
      <w:pPr>
        <w:pStyle w:val="TableCaption"/>
        <w:keepNext/>
        <w:spacing w:before="100" w:after="40"/>
      </w:pPr>
      <w:r>
        <w:rPr>
          <w:rFonts w:ascii="Arial" w:hAnsi="Arial" w:eastAsia="微软雅黑" w:cs="Arial"/>
          <w:b/>
          <w:color w:val="1F4E79"/>
          <w:sz w:val="20"/>
        </w:rPr>
        <w:t>Successful pairs only (RMSE &lt; 0.2 m)</w:t>
      </w:r>
    </w:p>
    <w:tbl>
      <w:tblPr>
        <w:tblStyle w:val="33"/>
        <w:tblW w:w="9120" w:type="dxa"/>
        <w:jc w:val="left"/>
        <w:tblInd w:w="12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480"/>
        <w:gridCol w:w="1480"/>
        <w:gridCol w:w="1480"/>
        <w:gridCol w:w="1480"/>
      </w:tblGrid>
      <w:tr w14:paraId="57EEF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cantSplit w:val="true"/>
        </w:trPr>
        <w:tc>
          <w:tcPr>
            <w:tcW w:w="190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52963AA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方法</w:t>
            </w:r>
          </w:p>
        </w:tc>
        <w:tc>
          <w:tcPr>
            <w:tcW w:w="130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3E37A44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Successful</w:t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pairs</w:t>
            </w:r>
          </w:p>
        </w:tc>
        <w:tc>
          <w:tcPr>
            <w:tcW w:w="148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AFC2FD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Mean RRE</w:t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(deg)</w:t>
            </w:r>
          </w:p>
        </w:tc>
        <w:tc>
          <w:tcPr>
            <w:tcW w:w="148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01F66BE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Median RRE</w:t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(deg)</w:t>
            </w:r>
          </w:p>
        </w:tc>
        <w:tc>
          <w:tcPr>
            <w:tcW w:w="148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51B9E0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Mean RTE</w:t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(m)</w:t>
            </w:r>
          </w:p>
        </w:tc>
        <w:tc>
          <w:tcPr>
            <w:tcW w:w="1480" w:type="dxa"/>
            <w:shd w:val="clear" w:color="auto" w:fill="D9EAF7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29FAF36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Median RTE</w:t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color w:val="000000"/>
                <w:sz w:val="16"/>
              </w:rPr>
              <w:t>(m)</w:t>
            </w:r>
          </w:p>
        </w:tc>
      </w:tr>
      <w:tr w14:paraId="78C4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190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6D3D321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Point-to-Plane ICP</w:t>
            </w:r>
          </w:p>
        </w:tc>
        <w:tc>
          <w:tcPr>
            <w:tcW w:w="130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05BE81B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1503</w:t>
            </w:r>
          </w:p>
        </w:tc>
        <w:tc>
          <w:tcPr>
            <w:tcW w:w="148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130F0C5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2.220</w:t>
            </w:r>
          </w:p>
        </w:tc>
        <w:tc>
          <w:tcPr>
            <w:tcW w:w="148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1D25FAB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1.840</w:t>
            </w:r>
          </w:p>
        </w:tc>
        <w:tc>
          <w:tcPr>
            <w:tcW w:w="148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1D54F77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0.0792</w:t>
            </w:r>
          </w:p>
        </w:tc>
        <w:tc>
          <w:tcPr>
            <w:tcW w:w="1480" w:type="dxa"/>
            <w:shd w:val="clear" w:color="auto" w:fill="F7FBFE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064CD85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0.0642</w:t>
            </w:r>
          </w:p>
        </w:tc>
      </w:tr>
      <w:tr w14:paraId="4EDF1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190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730C50C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Point-to-Point ICP</w:t>
            </w:r>
          </w:p>
        </w:tc>
        <w:tc>
          <w:tcPr>
            <w:tcW w:w="130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492B593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298</w:t>
            </w:r>
          </w:p>
        </w:tc>
        <w:tc>
          <w:tcPr>
            <w:tcW w:w="148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7C4844E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4.315</w:t>
            </w:r>
          </w:p>
        </w:tc>
        <w:tc>
          <w:tcPr>
            <w:tcW w:w="148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5B02715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4.071</w:t>
            </w:r>
          </w:p>
        </w:tc>
        <w:tc>
          <w:tcPr>
            <w:tcW w:w="148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01517BA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0.1199</w:t>
            </w:r>
          </w:p>
        </w:tc>
        <w:tc>
          <w:tcPr>
            <w:tcW w:w="1480" w:type="dxa"/>
            <w:tcMar>
              <w:top w:w="70" w:type="dxa"/>
              <w:left w:w="85" w:type="dxa"/>
              <w:bottom w:w="70" w:type="dxa"/>
              <w:right w:w="85" w:type="dxa"/>
              <w:start w:w="95" w:type="dxa"/>
              <w:end w:w="95" w:type="dxa"/>
            </w:tcMar>
            <w:vAlign w:val="center"/>
          </w:tcPr>
          <w:p w14:paraId="0172E39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color w:val="000000"/>
                <w:sz w:val="16"/>
              </w:rPr>
              <w:t>0.1002</w:t>
            </w:r>
          </w:p>
        </w:tc>
      </w:tr>
    </w:tbl>
    <w:p w14:paraId="7D6B11BB">
      <w:pPr>
        <w:spacing w:before="0" w:after="0" w:line="40" w:lineRule="exact"/>
      </w:pPr>
    </w:p>
    <w:p w14:paraId="4AABCD48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按场景统计的 registration recall 如下：</w:t>
      </w:r>
    </w:p>
    <w:tbl>
      <w:tblPr>
        <w:tblStyle w:val="32"/>
        <w:tblW w:w="912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  <w:tblInd w:w="12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5000"/>
        <w:gridCol w:w="700"/>
        <w:gridCol w:w="1710"/>
        <w:gridCol w:w="1710"/>
      </w:tblGrid>
      <w:tr w14:paraId="1EC586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9EAF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24D113A3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/>
                <w:sz w:val="16"/>
              </w:rPr>
              <w:t>Scene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9EAF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3D657A08">
            <w:pPr>
              <w:spacing w:after="0" w:line="252" w:lineRule="auto" w:before="0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Pairs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9EAF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7FB19337">
            <w:pPr>
              <w:spacing w:after="0" w:line="252" w:lineRule="auto" w:before="0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P2Plane Recall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shd w:val="clear" w:color="auto" w:fill="D9EAF7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1379C9B3">
            <w:pPr>
              <w:spacing w:after="0" w:line="252" w:lineRule="auto" w:before="0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P2Point Recall</w:t>
            </w:r>
          </w:p>
        </w:tc>
      </w:tr>
      <w:tr w14:paraId="3D1C6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5597B66B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7-scenes-redkitchen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392F1F0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506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57B2512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96.84%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30328EA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21.15%</w:t>
            </w:r>
          </w:p>
        </w:tc>
      </w:tr>
      <w:tr w14:paraId="035AB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128B1EDC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sun3d-home_at-home_at_scan1_2013_jan_1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61A2AFE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156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4CA398F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94.87%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2E301D9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18.59%</w:t>
            </w:r>
          </w:p>
        </w:tc>
      </w:tr>
      <w:tr w14:paraId="5CDBB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15BAA761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sun3d-home_md-home_md_scan9_2012_sep_30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7A30D51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208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4B2505A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77.40%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0FB5BA8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24.04%</w:t>
            </w:r>
          </w:p>
        </w:tc>
      </w:tr>
      <w:tr w14:paraId="11E78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1D7A86BE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sun3d-hotel_uc-scan3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24933909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226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0BBCF7E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98.23%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64DB526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13.72%</w:t>
            </w:r>
          </w:p>
        </w:tc>
      </w:tr>
      <w:tr w14:paraId="43CD42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6282554F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sun3d-hotel_umd-maryland_hotel1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39B3947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104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15CB728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95.19%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446F489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13.46%</w:t>
            </w:r>
          </w:p>
        </w:tc>
      </w:tr>
      <w:tr w14:paraId="0FC78A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422CD409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sun3d-hotel_umd-maryland_hotel3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50E65B0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54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04B57EC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96.30%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6183BFC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18.52%</w:t>
            </w:r>
          </w:p>
        </w:tc>
      </w:tr>
      <w:tr w14:paraId="7984C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3E7F3366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sun3d-mit_76_studyroom-76-1studyroom2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159EFBB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292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3693881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90.07%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 w14:paraId="20D4277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11.99%</w:t>
            </w:r>
          </w:p>
        </w:tc>
      </w:tr>
      <w:tr w14:paraId="3B6B0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 w:val="true"/>
        </w:trPr>
        <w:tc>
          <w:tcPr>
            <w:tcW w:w="50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2C1EF47F">
            <w:pPr>
              <w:spacing w:after="0" w:line="252" w:lineRule="auto" w:before="0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sun3d-mit_lab_hj-lab_hj_tea_nov_2_2012_scan1_erika</w:t>
            </w:r>
          </w:p>
        </w:tc>
        <w:tc>
          <w:tcPr>
            <w:tcW w:w="7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2E99040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77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6761C5A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88.31%</w:t>
            </w:r>
          </w:p>
        </w:tc>
        <w:tc>
          <w:tcPr>
            <w:tcW w:w="171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 w14:paraId="0158174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28.57%</w:t>
            </w:r>
          </w:p>
        </w:tc>
      </w:tr>
    </w:tbl>
    <w:p w14:paraId="6C3F4938">
      <w:pPr>
        <w:pStyle w:val="4"/>
      </w:pPr>
      <w:r>
        <w:rPr>
          <w:rFonts w:ascii="Arial" w:hAnsi="Arial" w:eastAsia="微软雅黑" w:cs="Arial"/>
          <w:b/>
          <w:color w:val="2F75B5"/>
          <w:sz w:val="26"/>
        </w:rPr>
        <w:t>ETH Apartment benchmark</w:t>
      </w:r>
    </w:p>
    <w:p w14:paraId="75FCE2D1">
      <w:r>
        <w:rPr>
          <w:rFonts w:ascii="Arial" w:hAnsi="Arial" w:eastAsia="微软雅黑" w:cs="Arial"/>
          <w:color w:val="1F1F1F"/>
          <w:sz w:val="21"/>
        </w:rPr>
        <w:t>ETH Apartment 实验采用官方 scanner-frame Hokuyo CSV、apartment_protocol.csv 中的 iT 初始位姿和 apartment_validation.csv 中的 gT ground truth。pose_scanner_leica.csv 的 scanner local-to-global 位姿用于独立方向核对：35 个唯一 scan pair 的最大元素误差为 0.02690，明显小于反方向误差，因此评测采用 reading-to-reference 方向。</w:t>
      </w:r>
    </w:p>
    <w:p w14:paraId="5FCA3976">
      <w:pPr>
        <w:pStyle w:val="16"/>
      </w:pPr>
      <w:r>
        <w:rPr>
          <w:rFonts w:ascii="Arial" w:hAnsi="Arial" w:eastAsia="微软雅黑" w:cs="Arial"/>
          <w:color w:val="1F1F1F"/>
          <w:sz w:val="21"/>
        </w:rPr>
        <w:t>从 ETH 官方入口下载 Apartment 场景，并通过 download_eth.py 选择性解压与校验本地路径。</w:t>
      </w:r>
    </w:p>
    <w:p w14:paraId="48F6E77C">
      <w:pPr>
        <w:pStyle w:val="16"/>
      </w:pPr>
      <w:r>
        <w:rPr>
          <w:rFonts w:ascii="Arial" w:hAnsi="Arial" w:eastAsia="微软雅黑" w:cs="Arial"/>
          <w:color w:val="1F1F1F"/>
          <w:sz w:val="21"/>
        </w:rPr>
        <w:t>解析 pose_scanner_leica.csv，核对 scanner local-to-global 位姿与官方 validation gT 的 reading-to-reference 方向。</w:t>
      </w:r>
    </w:p>
    <w:p w14:paraId="105A6DE4">
      <w:pPr>
        <w:pStyle w:val="16"/>
      </w:pPr>
      <w:r>
        <w:rPr>
          <w:rFonts w:ascii="Arial" w:hAnsi="Arial" w:eastAsia="微软雅黑" w:cs="Arial"/>
          <w:color w:val="1F1F1F"/>
          <w:sz w:val="21"/>
        </w:rPr>
        <w:t>按照 apartment_protocol.csv 的 reference / reading 列构造官方 scan pairs，逐行使用对应的 iT 初始位姿，不额外加入随机扰动。</w:t>
      </w:r>
    </w:p>
    <w:p w14:paraId="2E444879">
      <w:pPr>
        <w:pStyle w:val="16"/>
      </w:pPr>
      <w:r>
        <w:rPr>
          <w:rFonts w:ascii="Arial" w:hAnsi="Arial" w:eastAsia="微软雅黑" w:cs="Arial"/>
          <w:color w:val="1F1F1F"/>
          <w:sz w:val="21"/>
        </w:rPr>
        <w:t>依据 apartment_validation.csv 的 overlap_ratio 筛选样本；阈值设为 0.30，全部 6720 行官方协议均满足要求。</w:t>
      </w:r>
    </w:p>
    <w:p w14:paraId="394123B7">
      <w:pPr>
        <w:pStyle w:val="16"/>
      </w:pPr>
      <w:r>
        <w:rPr>
          <w:rFonts w:ascii="Arial" w:hAnsi="Arial" w:eastAsia="微软雅黑" w:cs="Arial"/>
          <w:color w:val="1F1F1F"/>
          <w:sz w:val="21"/>
        </w:rPr>
        <w:t>对 source 和 target 进行体素下采样，并在 target 点云上估计法向量。固定 tuning 子集选出的 voxel_size 为 0.10 m，normal_radius 为 0.20 m，normal_max_nn 为 30。</w:t>
      </w:r>
    </w:p>
    <w:p w14:paraId="78AA2382">
      <w:pPr>
        <w:pStyle w:val="16"/>
      </w:pPr>
      <w:r>
        <w:rPr>
          <w:rFonts w:ascii="Arial" w:hAnsi="Arial" w:eastAsia="微软雅黑" w:cs="Arial"/>
          <w:color w:val="1F1F1F"/>
          <w:sz w:val="21"/>
        </w:rPr>
        <w:t>分别运行 Point-to-Plane ICP 和 Point-to-Point ICP，对 6720 个 scan pairs 完成对比评测。</w:t>
      </w:r>
    </w:p>
    <w:p w14:paraId="54F4FD39">
      <w:pPr>
        <w:pStyle w:val="16"/>
      </w:pPr>
      <w:r>
        <w:rPr>
          <w:rFonts w:ascii="Arial" w:hAnsi="Arial" w:eastAsia="微软雅黑" w:cs="Arial"/>
          <w:color w:val="1F1F1F"/>
          <w:sz w:val="21"/>
        </w:rPr>
        <w:t>为每个 pair 记录 RMSE、RRE、RTE、runtime 和 success flag，并输出 results/eth/apartment_eth_metrics.csv 与 results/eth/apartment_eth_summary.json。</w:t>
      </w:r>
    </w:p>
    <w:p w14:paraId="6AFD1306">
      <w:r>
        <w:rPr>
          <w:rFonts w:ascii="Arial" w:hAnsi="Arial" w:eastAsia="微软雅黑" w:cs="Arial"/>
          <w:color w:val="1F1F1F"/>
          <w:sz w:val="21"/>
        </w:rPr>
        <w:t>ETH 参数由固定 tuning 子集确定：从 easyPoses、mediumPoses、hardPoses 各取前 8 行，共 24 行；遍历 18 组 Point-to-Plane 参数，并按 Recall、median RMSE、runtime 依次择优。完整 Apartment benchmark 随后使用同一组参数运行。</w:t>
      </w:r>
    </w:p>
    <w:tbl>
      <w:tblPr>
        <w:tblStyle w:val="33"/>
        <w:tblW w:w="9120" w:type="dxa"/>
        <w:jc w:val="left"/>
        <w:tblInd w:w="12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4800"/>
        <w:gridCol w:w="1620"/>
      </w:tblGrid>
      <w:tr w14:paraId="1E2F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696554E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/>
                <w:sz w:val="16"/>
              </w:rPr>
              <w:t>参数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795E562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/>
                <w:sz w:val="16"/>
              </w:rPr>
              <w:t>用途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4DA1144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ETH 实际设置</w:t>
            </w:r>
          </w:p>
        </w:tc>
      </w:tr>
      <w:tr w14:paraId="066D6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5DC71BF3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voxel_size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5A64ABAC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source / target 体素下采样尺寸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2364CF0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0.10 m</w:t>
            </w:r>
          </w:p>
        </w:tc>
      </w:tr>
      <w:tr w14:paraId="57AE4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173C1CB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normal_radius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65E98E31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target 法向量估计搜索半径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2D85B7D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0.20 m</w:t>
            </w:r>
          </w:p>
        </w:tc>
      </w:tr>
      <w:tr w14:paraId="2522D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74872CB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max_correspondence_distance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487FCE82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最近邻对应最大距离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37E5994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0.80 m</w:t>
            </w:r>
          </w:p>
        </w:tc>
      </w:tr>
      <w:tr w14:paraId="0D8A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18E3AD6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max_iterations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60957E2B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ICP 最大迭代次数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40C2388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50</w:t>
            </w:r>
          </w:p>
        </w:tc>
      </w:tr>
      <w:tr w14:paraId="3B5E6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4C20101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convergence_tolerance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078B6A78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收敛判定阈值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1A23086E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1e-6</w:t>
            </w:r>
          </w:p>
        </w:tc>
      </w:tr>
      <w:tr w14:paraId="3DA2C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07D73BB6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success_rmse_threshold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27FAA62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success flag 的 RMSE 阈值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4AF3911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0.20 m</w:t>
            </w:r>
          </w:p>
        </w:tc>
      </w:tr>
      <w:tr w14:paraId="1E689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783EB75C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initial_rotation_noise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5EAF3EB9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ground truth 初值旋转扰动范围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30A0C63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N/A：官方 iT</w:t>
            </w:r>
          </w:p>
        </w:tc>
      </w:tr>
      <w:tr w14:paraId="7D754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709C9327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initial_translation_noise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191A5FFD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ground truth 初值平移扰动范围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12615EE6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N/A：官方 iT</w:t>
            </w:r>
          </w:p>
        </w:tc>
      </w:tr>
      <w:tr w14:paraId="51D58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21FC9ACA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pair_overlap_threshold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3B52A87E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scan pair 最小重叠率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67F5327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0.30</w:t>
            </w:r>
          </w:p>
        </w:tc>
      </w:tr>
      <w:tr w14:paraId="39FC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27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4890C0F7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random_seed</w:t>
            </w:r>
          </w:p>
        </w:tc>
        <w:tc>
          <w:tcPr>
            <w:tcW w:w="48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592A61E0">
            <w:pPr>
              <w:spacing w:before="0" w:after="0" w:line="252" w:lineRule="auto"/>
              <w:jc w:val="left"/>
            </w:pPr>
            <w:r>
              <w:rPr>
                <w:rFonts w:ascii="Arial" w:hAnsi="Arial" w:eastAsia="微软雅黑" w:cs="Arial"/>
                <w:b w:val="0"/>
                <w:sz w:val="16"/>
              </w:rPr>
              <w:t>扰动复现实验随机种子</w:t>
            </w:r>
          </w:p>
        </w:tc>
        <w:tc>
          <w:tcPr>
            <w:tcW w:w="162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253B63B0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N/A：官方 iT</w:t>
            </w:r>
          </w:p>
        </w:tc>
      </w:tr>
    </w:tbl>
    <w:p w14:paraId="7E536131">
      <w:pPr>
        <w:pStyle w:val="TableCaption"/>
      </w:pPr>
      <w:r>
        <w:rPr>
          <w:rFonts w:ascii="Arial" w:hAnsi="Arial" w:eastAsia="微软雅黑" w:cs="Arial"/>
          <w:b/>
          <w:color w:val="1F4E79"/>
          <w:sz w:val="20"/>
        </w:rPr>
        <w:t>ETH Apartment 主结果表（official protocol，overlap_ratio &gt;= 0.30）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2200"/>
        <w:gridCol w:w="1200"/>
        <w:gridCol w:w="1200"/>
        <w:gridCol w:w="2200"/>
        <w:gridCol w:w="232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Method</w:t>
            </w:r>
          </w:p>
        </w:tc>
        <w:tc>
          <w:tcPr>
            <w:tcW w:type="dxa" w:w="1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Pairs</w:t>
            </w:r>
          </w:p>
        </w:tc>
        <w:tc>
          <w:tcPr>
            <w:tcW w:type="dxa" w:w="1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Recall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Median RMSE</w:t>
              <w:br/>
              <w:t>(m)</w:t>
            </w:r>
          </w:p>
        </w:tc>
        <w:tc>
          <w:tcPr>
            <w:tcW w:type="dxa" w:w="2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Mean runtime</w:t>
              <w:br/>
              <w:t>(s)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Point-to-Plane ICP</w:t>
            </w:r>
          </w:p>
        </w:tc>
        <w:tc>
          <w:tcPr>
            <w:tcW w:type="dxa" w:w="1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6720</w:t>
            </w:r>
          </w:p>
        </w:tc>
        <w:tc>
          <w:tcPr>
            <w:tcW w:type="dxa" w:w="1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0.5561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0.1267</w:t>
            </w:r>
          </w:p>
        </w:tc>
        <w:tc>
          <w:tcPr>
            <w:tcW w:type="dxa" w:w="2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0.7661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Point-to-Point ICP</w:t>
            </w:r>
          </w:p>
        </w:tc>
        <w:tc>
          <w:tcPr>
            <w:tcW w:type="dxa" w:w="1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6720</w:t>
            </w:r>
          </w:p>
        </w:tc>
        <w:tc>
          <w:tcPr>
            <w:tcW w:type="dxa" w:w="1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0.1278</w:t>
            </w:r>
          </w:p>
        </w:tc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1.2829</w:t>
            </w:r>
          </w:p>
        </w:tc>
        <w:tc>
          <w:tcPr>
            <w:tcW w:type="dxa" w:w="232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0.9573</w:t>
            </w:r>
          </w:p>
        </w:tc>
      </w:tr>
    </w:tbl>
    <w:p>
      <w:pPr>
        <w:pStyle w:val="TableCaption"/>
      </w:pPr>
      <w:r>
        <w:rPr>
          <w:rFonts w:ascii="Arial" w:hAnsi="Arial" w:eastAsia="微软雅黑" w:cs="Arial"/>
          <w:b/>
          <w:color w:val="1F4E79"/>
          <w:sz w:val="20"/>
        </w:rPr>
        <w:t>ETH Apartment all pairs 误差统计表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B8C4CE"/>
          <w:left w:val="single" w:sz="4" w:space="0" w:color="B8C4CE"/>
          <w:bottom w:val="single" w:sz="4" w:space="0" w:color="B8C4CE"/>
          <w:right w:val="single" w:sz="4" w:space="0" w:color="B8C4CE"/>
          <w:insideH w:val="single" w:sz="4" w:space="0" w:color="B8C4CE"/>
          <w:insideV w:val="single" w:sz="4" w:space="0" w:color="B8C4CE"/>
        </w:tblBorders>
      </w:tblPr>
      <w:tblGrid>
        <w:gridCol w:w="2200"/>
        <w:gridCol w:w="1730"/>
        <w:gridCol w:w="1730"/>
        <w:gridCol w:w="1730"/>
        <w:gridCol w:w="173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Method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Mean RRE</w:t>
              <w:br/>
              <w:t>(deg)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Median RRE</w:t>
              <w:br/>
              <w:t>(deg)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Mean RTE</w:t>
              <w:br/>
              <w:t>(m)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t>Median RTE</w:t>
              <w:br/>
              <w:t>(m)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Point-to-Plane ICP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25.0057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2.6800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0.6861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  <w:shd w:fill="F7FBFE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0.1147</w:t>
            </w:r>
          </w:p>
        </w:tc>
      </w:tr>
      <w:tr>
        <w:trPr>
          <w:cantSplit w:val="true"/>
        </w:trPr>
        <w:tc>
          <w:tcPr>
            <w:tcW w:type="dxa" w:w="220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Point-to-Point ICP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35.0223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24.3718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1.1799</w:t>
            </w:r>
          </w:p>
        </w:tc>
        <w:tc>
          <w:tcPr>
            <w:tcW w:type="dxa" w:w="1730"/>
            <w:vAlign w:val="center"/>
            <w:tcMar>
              <w:top w:w="70" w:type="dxa"/>
              <w:start w:w="95" w:type="dxa"/>
              <w:bottom w:w="70" w:type="dxa"/>
              <w:end w:w="95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7"/>
              </w:rPr>
              <w:t>0.8138</w:t>
            </w:r>
          </w:p>
        </w:tc>
      </w:tr>
    </w:tbl>
    <w:p w14:paraId="2005C215">
      <w:pPr>
        <w:pStyle w:val="TableCaption"/>
      </w:pPr>
      <w:r>
        <w:rPr>
          <w:rFonts w:ascii="Arial" w:hAnsi="Arial" w:eastAsia="微软雅黑" w:cs="Arial"/>
          <w:b/>
          <w:color w:val="1F4E79"/>
          <w:sz w:val="20"/>
        </w:rPr>
        <w:t>ETH Apartment successful pairs only 统计表（RMSE &lt; 0.20 m）</w:t>
      </w:r>
    </w:p>
    <w:tbl>
      <w:tblPr>
        <w:tblStyle w:val="33"/>
        <w:tblW w:w="9120" w:type="dxa"/>
        <w:jc w:val="left"/>
        <w:tblInd w:w="120" w:type="dxa"/>
        <w:tblBorders>
          <w:top w:val="single" w:color="B8C4CE" w:sz="4" w:space="0"/>
          <w:left w:val="single" w:color="B8C4CE" w:sz="4" w:space="0"/>
          <w:bottom w:val="single" w:color="B8C4CE" w:sz="4" w:space="0"/>
          <w:right w:val="single" w:color="B8C4CE" w:sz="4" w:space="0"/>
          <w:insideH w:val="single" w:color="B8C4CE" w:sz="4" w:space="0"/>
          <w:insideV w:val="single" w:color="B8C4CE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300"/>
        <w:gridCol w:w="1480"/>
        <w:gridCol w:w="1480"/>
        <w:gridCol w:w="1480"/>
        <w:gridCol w:w="1480"/>
      </w:tblGrid>
      <w:tr w14:paraId="30289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 w:val="true"/>
          <w:cantSplit w:val="true"/>
        </w:trPr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105225E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Method</w:t>
            </w:r>
          </w:p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1E8D5F68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Successful</w:t>
            </w:r>
            <w:r>
              <w:rPr>
                <w:rFonts w:ascii="Arial" w:hAnsi="Arial" w:eastAsia="微软雅黑" w:cs="Arial"/>
                <w:b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sz w:val="16"/>
              </w:rPr>
              <w:t>Pairs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0FF74CF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Success-only</w:t>
            </w:r>
            <w:r>
              <w:rPr>
                <w:rFonts w:ascii="Arial" w:hAnsi="Arial" w:eastAsia="微软雅黑" w:cs="Arial"/>
                <w:b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sz w:val="16"/>
              </w:rPr>
              <w:t>Mean RRE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3C14252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Success-only</w:t>
            </w:r>
            <w:r>
              <w:rPr>
                <w:rFonts w:ascii="Arial" w:hAnsi="Arial" w:eastAsia="微软雅黑" w:cs="Arial"/>
                <w:b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sz w:val="16"/>
              </w:rPr>
              <w:t>Median RRE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06DAEB94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Success-only</w:t>
            </w:r>
            <w:r>
              <w:rPr>
                <w:rFonts w:ascii="Arial" w:hAnsi="Arial" w:eastAsia="微软雅黑" w:cs="Arial"/>
                <w:b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sz w:val="16"/>
              </w:rPr>
              <w:t>Mean RTE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D9EAF7"/>
          </w:tcPr>
          <w:p w14:paraId="4BEB3EA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6"/>
              </w:rPr>
              <w:t>Success-only</w:t>
            </w:r>
            <w:r>
              <w:rPr>
                <w:rFonts w:ascii="Arial" w:hAnsi="Arial" w:eastAsia="微软雅黑" w:cs="Arial"/>
                <w:b/>
                <w:sz w:val="16"/>
              </w:rPr>
              <w:br w:type="textWrapping"/>
            </w:r>
            <w:r>
              <w:rPr>
                <w:rFonts w:ascii="Arial" w:hAnsi="Arial" w:eastAsia="微软雅黑" w:cs="Arial"/>
                <w:b/>
                <w:sz w:val="16"/>
              </w:rPr>
              <w:t>Median RTE</w:t>
            </w:r>
          </w:p>
        </w:tc>
      </w:tr>
      <w:tr w14:paraId="694A2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06151BB1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Point-to-Plane ICP</w:t>
            </w:r>
          </w:p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01E2289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3737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70E8F19C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2.0580 deg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2FDFBFB2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1.7492 deg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4647707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0.0717 m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  <w:shd w:fill="F7FBFE"/>
          </w:tcPr>
          <w:p w14:paraId="51C7EB6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0.0634 m</w:t>
            </w:r>
          </w:p>
        </w:tc>
      </w:tr>
      <w:tr w14:paraId="43C4C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 w:val="true"/>
        </w:trPr>
        <w:tc>
          <w:tcPr>
            <w:tcW w:w="19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53FB806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Point-to-Point ICP</w:t>
            </w:r>
          </w:p>
        </w:tc>
        <w:tc>
          <w:tcPr>
            <w:tcW w:w="130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15A3E963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859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52A6F17D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2.7062 deg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45CF41FA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3.0834 deg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78056AF5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0.0709 m</w:t>
            </w:r>
          </w:p>
        </w:tc>
        <w:tc>
          <w:tcPr>
            <w:tcW w:w="1480" w:type="dxa"/>
            <w:tcMar>
              <w:top w:w="70" w:type="dxa"/>
              <w:left w:w="80" w:type="dxa"/>
              <w:bottom w:w="70" w:type="dxa"/>
              <w:right w:w="80" w:type="dxa"/>
              <w:start w:w="95" w:type="dxa"/>
              <w:end w:w="95" w:type="dxa"/>
            </w:tcMar>
            <w:vAlign w:val="center"/>
          </w:tcPr>
          <w:p w14:paraId="1765414F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 w:val="0"/>
                <w:sz w:val="16"/>
              </w:rPr>
              <w:t>0.0675 m</w:t>
            </w:r>
          </w:p>
        </w:tc>
      </w:tr>
    </w:tbl>
    <w:p w14:paraId="4EE6A790">
      <w:r>
        <w:rPr>
          <w:rFonts w:ascii="Arial" w:hAnsi="Arial" w:eastAsia="微软雅黑" w:cs="Arial"/>
          <w:color w:val="1F1F1F"/>
          <w:sz w:val="21"/>
        </w:rPr>
        <w:t>success-only 统计用于描述算法成功收敛后的精配准能力。all pairs 的 mean RRE / RTE 会受到少数失败样本影响，因此两类指标需要与 Recall 一起解读，不能单独使用。</w:t>
      </w:r>
    </w:p>
    <w:p w14:paraId="34828065">
      <w:pPr>
        <w:pStyle w:val="4"/>
      </w:pPr>
      <w:r>
        <w:rPr>
          <w:rFonts w:ascii="Arial" w:hAnsi="Arial" w:eastAsia="微软雅黑" w:cs="Arial"/>
          <w:b/>
          <w:color w:val="2F75B5"/>
          <w:sz w:val="26"/>
        </w:rPr>
        <w:t>Demo results</w:t>
      </w:r>
    </w:p>
    <w:p w14:paraId="3699ADAA">
      <w:pPr>
        <w:pStyle w:val="5"/>
      </w:pPr>
      <w:r>
        <w:rPr>
          <w:rFonts w:ascii="Arial" w:hAnsi="Arial" w:eastAsia="微软雅黑" w:cs="Arial"/>
          <w:b/>
          <w:color w:val="1F4E79"/>
          <w:sz w:val="23"/>
        </w:rPr>
        <w:t>3DMatch demo result</w:t>
      </w:r>
    </w:p>
    <w:tbl>
      <w:tblPr>
        <w:tblStyle w:val="33"/>
        <w:tblW w:w="9120" w:type="dxa"/>
        <w:jc w:val="left"/>
        <w:tblBorders>
          <w:top w:val="single" w:color="AEBBC7" w:sz="6" w:space="0"/>
          <w:left w:val="single" w:color="AEBBC7" w:sz="6" w:space="0"/>
          <w:bottom w:val="single" w:color="AEBBC7" w:sz="6" w:space="0"/>
          <w:right w:val="single" w:color="AEBBC7" w:sz="6" w:space="0"/>
          <w:insideH w:val="single" w:color="AEBBC7" w:sz="6" w:space="0"/>
          <w:insideV w:val="single" w:color="AEBBC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Ind w:w="120" w:type="dxa"/>
      </w:tblPr>
      <w:tblGrid>
        <w:gridCol w:w="9120"/>
      </w:tblGrid>
      <w:tr w14:paraId="6E6F9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tblHeader w:val="true"/>
          <w:jc w:val="center"/>
          <w:cantSplit w:val="true"/>
        </w:trPr>
        <w:tc>
          <w:tcPr>
            <w:tcW w:w="9120" w:type="dxa"/>
            <w:tcBorders>
              <w:top w:val="single" w:color="A6A6A6" w:sz="12" w:space="0"/>
              <w:left w:val="single" w:color="A6A6A6" w:sz="12" w:space="0"/>
              <w:bottom w:val="single" w:color="A6A6A6" w:sz="12" w:space="0"/>
              <w:right w:val="single" w:color="A6A6A6" w:sz="12" w:space="0"/>
            </w:tcBorders>
            <w:tcMar>
              <w:top w:w="0" w:type="dxa"/>
              <w:left w:w="120" w:type="dxa"/>
              <w:bottom w:w="0" w:type="dxa"/>
              <w:right w:w="120" w:type="dxa"/>
              <w:start w:w="0" w:type="dxa"/>
              <w:end w:w="0" w:type="dxa"/>
            </w:tcMar>
            <w:vAlign w:val="center"/>
          </w:tcPr>
          <w:p w14:paraId="44083E9B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drawing>
                <wp:inline distT="0" distB="0" distL="114300" distR="114300">
                  <wp:extent cx="5577840" cy="2740660"/>
                  <wp:effectExtent l="0" t="0" r="5715" b="2540"/>
                  <wp:docPr id="2" name="Picture 2" descr="3DMatch 7-scenes-redkitchen 点云在 Point-to-Plane ICP 配准前后的对比图" title="3DMatch 7-scenes-redkitchen 点云在 Point-to-Plane ICP 配准前后的对比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740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C06B8">
      <w:pPr>
        <w:pStyle w:val="FigureCaption"/>
        <w:spacing w:after="120"/>
      </w:pPr>
      <w:r>
        <w:rPr>
          <w:rFonts w:ascii="Arial" w:hAnsi="Arial" w:eastAsia="微软雅黑" w:cs="Arial"/>
          <w:color w:val="5B6573"/>
          <w:sz w:val="19"/>
        </w:rPr>
        <w:t>上方为 3DMatch 配准可视化结果。示例使用 cloud_bin_1.ply -&gt; cloud_bin_0.ply；Point-to-Plane ICP 将 RMSE 从 0.1841 m 降至 0.0111 m。</w:t>
      </w:r>
    </w:p>
    <w:p w14:paraId="0F0BAFD7">
      <w:pPr>
        <w:pStyle w:val="5"/>
      </w:pPr>
      <w:r>
        <w:rPr>
          <w:rFonts w:ascii="Arial" w:hAnsi="Arial" w:eastAsia="微软雅黑" w:cs="Arial"/>
          <w:b/>
          <w:color w:val="1F4E79"/>
          <w:sz w:val="23"/>
        </w:rPr>
        <w:t>ETH Apartment demo result</w:t>
      </w:r>
    </w:p>
    <w:tbl>
      <w:tblPr>
        <w:tblStyle w:val="33"/>
        <w:tblW w:w="9120" w:type="dxa"/>
        <w:jc w:val="left"/>
        <w:tblInd w:w="120" w:type="dxa"/>
        <w:tblBorders>
          <w:top w:val="single" w:color="AEBBC7" w:sz="6" w:space="0"/>
          <w:left w:val="single" w:color="AEBBC7" w:sz="6" w:space="0"/>
          <w:bottom w:val="single" w:color="AEBBC7" w:sz="6" w:space="0"/>
          <w:right w:val="single" w:color="AEBBC7" w:sz="6" w:space="0"/>
          <w:insideH w:val="single" w:color="AEBBC7" w:sz="6" w:space="0"/>
          <w:insideV w:val="single" w:color="AEBBC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0"/>
      </w:tblGrid>
      <w:tr w14:paraId="72174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2" w:hRule="atLeast"/>
          <w:tblHeader w:val="true"/>
          <w:cantSplit w:val="true"/>
        </w:trPr>
        <w:tc>
          <w:tcPr>
            <w:tcW w:w="9120" w:type="dxa"/>
            <w:tcMar>
              <w:top w:w="0" w:type="dxa"/>
              <w:left w:w="80" w:type="dxa"/>
              <w:bottom w:w="0" w:type="dxa"/>
              <w:right w:w="80" w:type="dxa"/>
              <w:start w:w="0" w:type="dxa"/>
              <w:end w:w="0" w:type="dxa"/>
            </w:tcMar>
            <w:vAlign w:val="center"/>
          </w:tcPr>
          <w:p w14:paraId="0A5BC257">
            <w:pPr>
              <w:spacing w:before="0" w:after="0" w:line="252" w:lineRule="auto"/>
              <w:jc w:val="center"/>
            </w:pPr>
            <w:r>
              <w:rPr>
                <w:rFonts w:ascii="Arial" w:hAnsi="Arial" w:eastAsia="微软雅黑" w:cs="Arial"/>
                <w:b/>
                <w:sz w:val="17"/>
              </w:rPr>
              <w:drawing>
                <wp:inline distT="0" distB="0" distL="114300" distR="114300">
                  <wp:extent cx="5577840" cy="2784475"/>
                  <wp:effectExtent l="0" t="0" r="0" b="0"/>
                  <wp:docPr id="3" name="Picture 3" descr="ETH Apartment Hokuyo_21.csv 到 Hokuyo_27.csv 点云在 Point-to-Plane ICP 配准前后的对比图" title="ETH Apartment Hokuyo_21.csv 到 Hokuyo_27.csv 点云在 Point-to-Plane ICP 配准前后的对比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2784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D3B1C5">
      <w:pPr>
        <w:pStyle w:val="FigureCaption"/>
      </w:pPr>
      <w:r>
        <w:rPr>
          <w:rFonts w:ascii="Arial" w:hAnsi="Arial" w:eastAsia="微软雅黑" w:cs="Arial"/>
          <w:color w:val="5B6573"/>
          <w:sz w:val="19"/>
        </w:rPr>
        <w:t>下方为 ETH Apartment 配准可视化结果。示例使用 Hokuyo_21.csv -&gt; Hokuyo_27.csv，overlap_ratio 为 0.8580；Point-to-Plane ICP 将 RMSE 从 0.3502 m 降至 0.0376 m。</w:t>
      </w:r>
    </w:p>
    <w:p w14:paraId="0F09A428">
      <w:pPr>
        <w:pStyle w:val="3"/>
      </w:pPr>
      <w:r>
        <w:rPr>
          <w:rFonts w:ascii="Arial" w:hAnsi="Arial" w:eastAsia="微软雅黑" w:cs="Arial"/>
          <w:b/>
          <w:color w:val="1F4E79"/>
          <w:sz w:val="32"/>
        </w:rPr>
        <w:t>Analysis</w:t>
      </w:r>
    </w:p>
    <w:p w14:paraId="23E3C26B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3DMatch 完整测试中，Point-to-Plane ICP 的 registration Recall 为 92.61% (1503/1623)，高于 Point-to-Point baseline 的 18.36% (298/1623)。两种方法的 median RMSE 分别为 0.0570 m 和 0.5916 m，表明 Point-to-Plane ICP 在大多数片段对上更稳定地收敛到接近真值的位姿。</w:t>
      </w:r>
    </w:p>
    <w:p w14:paraId="023DCCA2">
      <w:r>
        <w:rPr>
          <w:rFonts w:ascii="Arial" w:hAnsi="Arial" w:eastAsia="微软雅黑" w:cs="Arial"/>
          <w:color w:val="1F1F1F"/>
          <w:sz w:val="21"/>
        </w:rPr>
        <w:t>误差同时按 all pairs 和 successful pairs only (RMSE &lt; 0.20 m) 两种口径统计。前者保留失败样本，用于反映整体风险；后者描述成功收敛后的精配准误差。Point-to-Plane ICP 的 all-pairs mean RRE / RTE 为 3.132 deg / 0.3877 m，成功样本为 2.220 deg / 0.0792 m。success-only 指标必须与 Recall 结合解读，不能单独使用。</w:t>
      </w:r>
    </w:p>
    <w:p w14:paraId="5425F7C1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差异来自目标函数。Point-to-Point ICP 要求源点靠近最近目标采样点，在视角变化、采样密度差异和局部遮挡下容易受到错误最近邻影响；Point-to-Plane ICP 约束源点到目标局部表面的距离，对墙面、桌面和柜体等平面结构更稳定。</w:t>
      </w:r>
    </w:p>
    <w:p w14:paraId="1B0B092B">
      <w:pPr>
        <w:spacing w:after="120"/>
      </w:pPr>
      <w:r>
        <w:rPr>
          <w:rFonts w:ascii="Arial" w:hAnsi="Arial" w:eastAsia="微软雅黑" w:cs="Arial"/>
          <w:color w:val="1F1F1F"/>
          <w:sz w:val="21"/>
        </w:rPr>
        <w:t>失败样本仍然存在。重叠区域较少、几何结构重复，或初始扰动使最近邻落入错误表面时，局部 ICP 难以跳出错误 basin。sun3d-home_md-home_md_scan9_2012_sep_30 的 Recall 较低，说明该场景存在更明显的几何歧义和视角差异。</w:t>
      </w:r>
    </w:p>
    <w:p w14:paraId="7716AF74">
      <w:r>
        <w:rPr>
          <w:rFonts w:ascii="Arial" w:hAnsi="Arial" w:eastAsia="微软雅黑" w:cs="Arial"/>
          <w:color w:val="1F1F1F"/>
          <w:sz w:val="21"/>
        </w:rPr>
        <w:t>ETH Apartment 结果表明，Point-to-Plane ICP 在真实 laser scanner 点云上仍优于 Point-to-Point ICP。两种方法的 registration Recall 分别为 0.5561 和 0.1278，median RMSE 分别为 0.1267 m 和 1.2829 m。表面法向量误差模型同样适用于 laser scan local refinement。</w:t>
      </w:r>
    </w:p>
    <w:p w14:paraId="1DB7D253">
      <w:r>
        <w:rPr>
          <w:rFonts w:ascii="Arial" w:hAnsi="Arial" w:eastAsia="微软雅黑" w:cs="Arial"/>
          <w:color w:val="1F1F1F"/>
          <w:sz w:val="21"/>
        </w:rPr>
        <w:t>ETH Apartment 的 Point-to-Plane Recall 低于 3DMatch 的 0.9261，说明官方 ETH iT 初值和 laser scanner 场景更具挑战性。其 all-pairs mean RMSE 为 1.0724 m，median RMSE 为 0.1267 m，差距来自失败样本形成的长尾。成功样本中，Point-to-Point ICP 的 mean RTE 略低，但成功数仅为 859，明显少于 Point-to-Plane ICP 的 3737，因此仍需结合 Recall 判断整体性能。</w:t>
      </w:r>
    </w:p>
    <w:p w14:paraId="072D2DB9">
      <w:r>
        <w:rPr>
          <w:rFonts w:ascii="Arial" w:hAnsi="Arial" w:eastAsia="微软雅黑" w:cs="Arial"/>
          <w:color w:val="1F1F1F"/>
          <w:sz w:val="21"/>
        </w:rPr>
        <w:t>综合两组实验，Point-to-Plane ICP 适合作为局部 pose refinement 模块，但依赖合理初值、足够重叠区域和稳定法向量。它不能替代全局配准；实际系统仍需由 feature matching、RANSAC、FPFH 或其他粗配准方法提供初始位姿。</w:t>
      </w:r>
    </w:p>
    <w:p w14:paraId="651C1381">
      <w:pPr>
        <w:spacing w:after="120"/>
        <w:rPr>
          <w:rFonts w:ascii="微软雅黑" w:hAnsi="微软雅黑" w:eastAsia="微软雅黑"/>
        </w:rPr>
      </w:pPr>
      <w:r>
        <w:rPr>
          <w:rFonts w:ascii="Arial" w:hAnsi="Arial" w:eastAsia="微软雅黑" w:cs="Arial"/>
          <w:color w:val="1F1F1F"/>
          <w:sz w:val="21"/>
        </w:rPr>
        <w:t xml:space="preserve">Sources: </w:t>
      </w:r>
    </w:p>
    <w:p w14:paraId="0417B701">
      <w:pPr>
        <w:pStyle w:val="SourceEntry"/>
        <w:spacing w:after="120"/>
        <w:rPr>
          <w:rFonts w:ascii="微软雅黑" w:hAnsi="微软雅黑" w:eastAsia="微软雅黑"/>
        </w:rPr>
      </w:pPr>
      <w:r>
        <w:rPr>
          <w:rFonts w:ascii="Arial" w:hAnsi="Arial" w:eastAsia="微软雅黑" w:cs="Arial"/>
          <w:color w:val="5B6573"/>
          <w:sz w:val="18"/>
        </w:rPr>
        <w:t xml:space="preserve">3DMatch official benchmark page, https://3dmatch.cs.princeton.edu/ ; </w:t>
      </w:r>
    </w:p>
    <w:p w14:paraId="306E4CD8">
      <w:pPr>
        <w:pStyle w:val="SourceEntry"/>
        <w:spacing w:after="120"/>
      </w:pPr>
      <w:r>
        <w:rPr>
          <w:rFonts w:ascii="Arial" w:hAnsi="Arial" w:eastAsia="微软雅黑" w:cs="Arial"/>
          <w:color w:val="5B6573"/>
          <w:sz w:val="18"/>
        </w:rPr>
        <w:t>Open3D installation documentation, https://www.open3d.org/docs/release/getting_started.html</w:t>
      </w:r>
    </w:p>
    <w:p w14:paraId="1680D3C1">
      <w:pPr>
        <w:pStyle w:val="SourceEntry"/>
      </w:pPr>
      <w:r>
        <w:rPr>
          <w:rFonts w:ascii="Arial" w:hAnsi="Arial" w:eastAsia="微软雅黑" w:cs="Arial"/>
          <w:color w:val="5B6573"/>
          <w:sz w:val="18"/>
        </w:rPr>
        <w:t>ETH Challenging Data Sets for Point Cloud Registration Algorithms, https://doi.org/10.3929/ethz-b-000721626</w:t>
      </w:r>
      <w:bookmarkStart w:id="0" w:name="_GoBack"/>
      <w:bookmarkEnd w:id="0"/>
    </w:p>
    <w:sectPr>
      <w:footerReference r:id="rId5" w:type="default"/>
      <w:pgSz w:w="12240" w:h="15840"/>
      <w:pgMar w:top="1123" w:right="1296" w:bottom="1037" w:left="1296" w:header="708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A5452">
    <w:pPr>
      <w:pStyle w:val="24"/>
      <w:spacing w:before="0" w:after="0"/>
      <w:jc w:val="right"/>
    </w:pPr>
    <w:r>
      <w:rPr>
        <w:rFonts w:ascii="Arial" w:hAnsi="Arial" w:eastAsia="微软雅黑" w:cs="Arial"/>
        <w:color w:val="5B6573"/>
        <w:sz w:val="18"/>
      </w:rPr>
      <w:t xml:space="preserve">Point-to-plane ICP Report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Arial" w:hAnsi="Arial" w:eastAsia="微软雅黑" w:cs="Arial"/>
        <w:color w:val="5B6573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1E7EE3"/>
    <w:rsid w:val="57845A11"/>
    <w:rsid w:val="662A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7" w:lineRule="auto"/>
    </w:pPr>
    <w:rPr>
      <w:rFonts w:ascii="Arial" w:hAnsi="Arial" w:eastAsia="微软雅黑" w:cstheme="minorBidi" w:cs="Arial"/>
      <w:color w:val="1F1F1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60" w:after="100"/>
      <w:outlineLvl w:val="0"/>
    </w:pPr>
    <w:rPr>
      <w:rFonts w:asciiTheme="majorHAnsi" w:hAnsiTheme="majorHAnsi" w:eastAsiaTheme="majorEastAsia" w:cstheme="majorBidi" w:ascii="Arial" w:hAnsi="Arial" w:eastAsia="微软雅黑" w:cs="Arial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80"/>
      <w:outlineLvl w:val="1"/>
    </w:pPr>
    <w:rPr>
      <w:rFonts w:asciiTheme="majorHAnsi" w:hAnsiTheme="majorHAnsi" w:eastAsiaTheme="majorEastAsia" w:cstheme="majorBidi" w:ascii="Arial" w:hAnsi="Arial" w:eastAsia="微软雅黑" w:cs="Arial"/>
      <w:b/>
      <w:bCs/>
      <w:color w:val="2F75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40" w:after="60"/>
      <w:outlineLvl w:val="2"/>
    </w:pPr>
    <w:rPr>
      <w:rFonts w:asciiTheme="majorHAnsi" w:hAnsiTheme="majorHAnsi" w:eastAsiaTheme="majorEastAsia" w:cstheme="majorBidi" w:ascii="Arial" w:hAnsi="Arial" w:eastAsia="微软雅黑" w:cs="Arial"/>
      <w:b/>
      <w:bCs/>
      <w:color w:val="1F4E79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40" w:line="283" w:lineRule="auto"/>
      <w:contextualSpacing/>
    </w:pPr>
    <w:rPr>
      <w:rFonts w:ascii="Arial" w:hAnsi="Arial" w:eastAsia="微软雅黑" w:cs="Arial"/>
      <w:color w:val="1F1F1F"/>
      <w:sz w:val="2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40" w:line="283" w:lineRule="auto"/>
      <w:contextualSpacing/>
    </w:pPr>
    <w:rPr>
      <w:rFonts w:ascii="Arial" w:hAnsi="Arial" w:eastAsia="微软雅黑" w:cs="Arial"/>
      <w:color w:val="1F1F1F"/>
      <w:sz w:val="2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before="0" w:after="0" w:line="252" w:lineRule="auto"/>
      <w:ind w:left="259"/>
    </w:pPr>
    <w:rPr>
      <w:rFonts w:ascii="Consolas" w:hAnsi="Consolas" w:eastAsia="Consolas" w:cstheme="minorBidi" w:cs="Consolas"/>
      <w:color w:val="202020"/>
      <w:sz w:val="18"/>
      <w:szCs w:val="22"/>
      <w:lang w:val="en-US" w:eastAsia="en-US" w:bidi="ar-SA"/>
    </w:rPr>
  </w:style>
  <w:style w:type="paragraph" w:customStyle="1" w:styleId="TableCaption">
    <w:name w:val="TableCaption"/>
    <w:basedOn w:val="1"/>
    <w:pPr>
      <w:keepNext/>
      <w:spacing w:before="100" w:after="40"/>
    </w:pPr>
    <w:rPr>
      <w:rFonts w:ascii="Arial" w:hAnsi="Arial" w:eastAsia="微软雅黑" w:cs="Arial"/>
      <w:b/>
      <w:color w:val="1F4E79"/>
      <w:sz w:val="20"/>
    </w:rPr>
  </w:style>
  <w:style w:type="paragraph" w:customStyle="1" w:styleId="FigureCaption">
    <w:name w:val="FigureCaption"/>
    <w:basedOn w:val="1"/>
    <w:pPr>
      <w:spacing w:before="40" w:after="100" w:line="276" w:lineRule="auto"/>
    </w:pPr>
    <w:rPr>
      <w:rFonts w:ascii="Arial" w:hAnsi="Arial" w:eastAsia="微软雅黑" w:cs="Arial"/>
      <w:color w:val="5B6573"/>
      <w:sz w:val="19"/>
    </w:rPr>
  </w:style>
  <w:style w:type="paragraph" w:customStyle="1" w:styleId="SourceEntry">
    <w:name w:val="SourceEntry"/>
    <w:basedOn w:val="1"/>
    <w:pPr>
      <w:spacing w:after="40" w:line="264" w:lineRule="auto"/>
      <w:ind w:left="259" w:hanging="259"/>
    </w:pPr>
    <w:rPr>
      <w:rFonts w:ascii="Arial" w:hAnsi="Arial" w:eastAsia="微软雅黑" w:cs="Arial"/>
      <w:color w:val="5B6573"/>
      <w:sz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2593</Words>
  <Characters>6800</Characters>
  <Lines>0</Lines>
  <Paragraphs>0</Paragraphs>
  <TotalTime>8</TotalTime>
  <ScaleCrop>false</ScaleCrop>
  <LinksUpToDate>false</LinksUpToDate>
  <CharactersWithSpaces>7439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路小雨</cp:lastModifiedBy>
  <dcterms:modified xsi:type="dcterms:W3CDTF">2026-05-30T23:58:34Z</dcterms:modified>
  <dc:subject>3DMatch 与 ETH Apartment 局部配准实验</dc:subject>
  <dc:title>Point-to-plane ICP 实验报告</dc:title>
  <cp:revision>1</cp:revision>
  <cp:keywords>ICP, Point-to-Plane, 3DMatch, ETH Apartment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eyJoZGlkIjoiNmRmYTEwZDY5MjJmMWE4Y2I1MTA3NDhmOWRkYzFlOTciLCJ1c2VySWQiOiIxNTU0ODgwNTgzIn0=</vt:lpwstr>
  </property>
  <property fmtid="{D5CDD505-2E9C-101B-9397-08002B2CF9AE}" pid="3" name="KSOProductBuildVer">
    <vt:lpwstr>2052-12.1.0.26375</vt:lpwstr>
  </property>
  <property fmtid="{D5CDD505-2E9C-101B-9397-08002B2CF9AE}" pid="4" name="ICV">
    <vt:lpwstr>2B6C3192B2F947D0996DF1FDC2BC8215_12</vt:lpwstr>
  </property>
</Properties>
</file>