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p>
      <w:pPr>
        <w:spacing w:lineRule="auto"/>
      </w:pPr>
      <w:r>
        <w:rPr/>
        <w:t xml:space="preserve"/>
      </w:r>
    </w:p>
    <w:p>
      <w:pPr>
        <w:jc w:val="center"/>
        <w:spacing w:lineRule="auto"/>
      </w:pPr>
      <w:r>
        <w:rPr>
          <w:rFonts w:ascii="Cambria" w:hAnsi="Cambria"/>
          <w:b w:val="0"/>
          <w:sz w:val="19"/>
          <w:szCs w:val="19"/>
          <w:color w:val="8A4B24"/>
        </w:rPr>
        <w:t xml:space="preserve">English Today — author biography</w:t>
      </w:r>
    </w:p>
    <w:p>
      <w:pPr>
        <w:jc w:val="center"/>
        <w:spacing w:lineRule="auto"/>
      </w:pPr>
      <w:r>
        <w:rPr>
          <w:rFonts w:ascii="Cambria" w:hAnsi="Cambria"/>
          <w:b w:val="0"/>
          <w:sz w:val="44"/>
          <w:szCs w:val="44"/>
          <w:color w:val="17364A"/>
        </w:rPr>
        <w:t xml:space="preserve">Luca Herranz-Celotti</w:t>
      </w:r>
    </w:p>
    <w:tbl>
      <w:tblPr>
        <w:tblW w:w="5000" w:type="pct"/>
        <w:tblLayout w:type="autofit"/>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CellMar>
          <w:top w:type="dxa" w:w="80"/>
          <w:bottom w:type="dxa" w:w="80"/>
          <w:left w:type="dxa" w:w="160"/>
          <w:right w:type="dxa" w:w="160"/>
        </w:tblCellMar>
        <w:jc w:val="center"/>
      </w:tblPr>
      <w:tblGrid>
        <w:gridCol w:w="9184"/>
      </w:tblGrid>
      <w:tr>
        <w:trPr>
          <w:cantSplit/>
        </w:trPr>
        <w:tc>
          <w:tcPr>
            <w:shd w:val="clear" w:color="auto" w:fill="F4F7F9"/>
            <w:vAlign w:val="center"/>
            <w:tcMar>
              <w:top w:w="120" w:type="dxa"/>
              <w:left w:w="160" w:type="dxa"/>
              <w:bottom w:w="120" w:type="dxa"/>
              <w:right w:w="160" w:type="dxa"/>
            </w:tcMar>
          </w:tcPr>
          <w:tcPr/>
          <w:p>
            <w:pPr>
              <w:spacing w:before="0" w:after="0" w:line="240" w:lineRule="auto"/>
            </w:pPr>
            <w:r>
              <w:rPr/>
              <w:t xml:space="preserve">Luca Herranz-Celotti is a researcher in machine learning and computational neuroscience, with a focus on gradient stability in deep networks and spiking neurons. He completed his doctorate at Université de Sherbrooke under Jean Rouat and is now at Sorbonne Université. He has interned with Wolfgang Maass and Alexandre Pouget. His work includes multimodal embodied learning, hearing-aid speech enhancement, and the mathematics of exploding gradients in recurrent networks. This article is a side proposal: a Latin-letter vowel notation for English, using Hungarian-style dots and accents.</w:t>
            </w:r>
          </w:p>
        </w:tc>
      </w:tr>
    </w:tbl>
    <w:p>
      <w:pPr>
        <w:spacing w:lineRule="auto"/>
      </w:pPr>
      <w:r>
        <w:rPr/>
      </w:r>
    </w:p>
    <w:sectPr>
      <w:pgSz w:w="11906" w:h="16838" w:orient="portrait"/>
      <w:pgMar w:top="1247" w:right="1361" w:bottom="1247" w:left="1361" w:header="720" w:footer="720" w:gutter="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Times New Roman"/>
    <w:family w:val="roman"/>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mbria" w:eastAsiaTheme="minorHAnsi" w:hAnsiTheme="minorHAnsi" w:cstheme="minorBidi"/>
        <w:sz w:val="24"/>
        <w:szCs w:val="22"/>
        <w:lang w:val="en-GB" w:eastAsia="en-GB"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Cambria"/>
        <a:cs typeface=""/>
      </a:majorFont>
      <a:minorFont>
        <a:latin typeface="Cambria"/>
        <a:ea typeface="Cambria"/>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biography</dc:title>
  <dc:subject/>
  <dc:creator>html-to-docx</dc:creator>
  <cp:keywords>html-to-docx</cp:keywords>
  <dc:description/>
  <cp:lastModifiedBy>html-to-docx</cp:lastModifiedBy>
  <cp:revision>1</cp:revision>
  <dcterms:created xsi:type="dcterms:W3CDTF">2026-09-18T08:15:25.230Z</dcterms:created>
  <dcterms:modified xsi:type="dcterms:W3CDTF">2026-09-18T08:15:25.230Z</dcterms:modified>
</cp:coreProperties>
</file>