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6130E"/>
          <w:sz w:val="36"/>
          <w:szCs w:val="36"/>
        </w:rPr>
        <w:t xml:space="preserve">ClearBill AI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55248"/>
          <w:sz w:val="18"/>
          <w:szCs w:val="18"/>
        </w:rPr>
        <w:t xml:space="preserve">Find the money hospitals didn't mean to bill you.</w:t>
      </w:r>
    </w:p>
    <w:p>
      <w:pPr>
        <w:spacing w:after="130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We cross-check your hospital bill against your insurance company's own paperwork — the same comparison a $200/hr patient advocate does by hand — and catch the exact overcharges automatically, in under a minute, for free.</w:t>
      </w:r>
    </w:p>
    <w:tbl>
      <w:tblPr>
        <w:tblW w:type="dxa" w:w="11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0"/>
        <w:gridCol w:w="3720"/>
        <w:gridCol w:w="3720"/>
      </w:tblGrid>
      <w:tr>
        <w:tc>
          <w:tcPr>
            <w:tcW w:type="dxa" w:w="3720"/>
            <w:tcBorders>
              <w:top w:val="single" w:color="DDD9C8" w:sz="2"/>
              <w:left w:val="single" w:color="DDD9C8" w:sz="2"/>
              <w:bottom w:val="single" w:color="DDD9C8" w:sz="2"/>
              <w:right w:val="single" w:color="DDD9C8" w:sz="2"/>
            </w:tcBorders>
            <w:shd w:fill="F1F0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B"/>
                <w:sz w:val="26"/>
                <w:szCs w:val="26"/>
              </w:rPr>
              <w:t xml:space="preserve">49–80%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color w:val="555248"/>
                <w:sz w:val="13"/>
                <w:szCs w:val="13"/>
              </w:rPr>
              <w:t xml:space="preserve">of medical bills contain an error</w:t>
            </w:r>
          </w:p>
        </w:tc>
        <w:tc>
          <w:tcPr>
            <w:tcW w:type="dxa" w:w="3720"/>
            <w:tcBorders>
              <w:top w:val="single" w:color="DDD9C8" w:sz="2"/>
              <w:left w:val="single" w:color="DDD9C8" w:sz="2"/>
              <w:bottom w:val="single" w:color="DDD9C8" w:sz="2"/>
              <w:right w:val="single" w:color="DDD9C8" w:sz="2"/>
            </w:tcBorders>
            <w:shd w:fill="F1F0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B"/>
                <w:sz w:val="26"/>
                <w:szCs w:val="26"/>
              </w:rPr>
              <w:t xml:space="preserve">$220B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color w:val="555248"/>
                <w:sz w:val="13"/>
                <w:szCs w:val="13"/>
              </w:rPr>
              <w:t xml:space="preserve">medical debt held by 100M Americans</w:t>
            </w:r>
          </w:p>
        </w:tc>
        <w:tc>
          <w:tcPr>
            <w:tcW w:type="dxa" w:w="3720"/>
            <w:tcBorders>
              <w:top w:val="single" w:color="DDD9C8" w:sz="2"/>
              <w:left w:val="single" w:color="DDD9C8" w:sz="2"/>
              <w:bottom w:val="single" w:color="DDD9C8" w:sz="2"/>
              <w:right w:val="single" w:color="DDD9C8" w:sz="2"/>
            </w:tcBorders>
            <w:shd w:fill="F1F0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B"/>
                <w:sz w:val="26"/>
                <w:szCs w:val="26"/>
              </w:rPr>
              <w:t xml:space="preserve">25–35%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color w:val="555248"/>
                <w:sz w:val="13"/>
                <w:szCs w:val="13"/>
              </w:rPr>
              <w:t xml:space="preserve">fee competitors already charge to do this by hand</w:t>
            </w:r>
          </w:p>
        </w:tc>
      </w:tr>
    </w:tbl>
    <w:p>
      <w:pPr>
        <w:spacing w:after="40" w:before="130"/>
      </w:pPr>
      <w:r>
        <w:rPr>
          <w:rFonts w:ascii="Arial" w:cs="Arial" w:eastAsia="Arial" w:hAnsi="Arial"/>
          <w:b/>
          <w:bCs/>
          <w:color w:val="2E7D3B"/>
          <w:spacing w:val="10"/>
          <w:sz w:val="15"/>
          <w:szCs w:val="15"/>
        </w:rPr>
        <w:t xml:space="preserve">THE PROBLEM</w:t>
      </w:r>
    </w:p>
    <w:p>
      <w:pPr>
        <w:spacing w:after="100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On a $10K+ bill, errors average $1,300 in overcharges — but there's no standard way to dispute one, and checking a bill against an insurance EOB by hand takes hours nobody has. Most people just pay.</w:t>
      </w:r>
    </w:p>
    <w:p>
      <w:pPr>
        <w:spacing w:after="40" w:before="130"/>
      </w:pPr>
      <w:r>
        <w:rPr>
          <w:rFonts w:ascii="Arial" w:cs="Arial" w:eastAsia="Arial" w:hAnsi="Arial"/>
          <w:b/>
          <w:bCs/>
          <w:color w:val="2E7D3B"/>
          <w:spacing w:val="10"/>
          <w:sz w:val="15"/>
          <w:szCs w:val="15"/>
        </w:rPr>
        <w:t xml:space="preserve">WHAT WE DO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Upload a bill + EOB. Gemini extracts every line item and code in seconds.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We flag exact duplicate charges (deterministic, zero false positives) and anything your insurer already denied that the hospital billed anyway, citing their own official denial code.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We draft — and can send — the dispute letter. Roadmap: we follow up until the refund is confirmed, not just filed.</w:t>
      </w:r>
    </w:p>
    <w:p>
      <w:pPr>
        <w:spacing w:after="40" w:before="130"/>
      </w:pPr>
      <w:r>
        <w:rPr>
          <w:rFonts w:ascii="Arial" w:cs="Arial" w:eastAsia="Arial" w:hAnsi="Arial"/>
          <w:b/>
          <w:bCs/>
          <w:color w:val="2E7D3B"/>
          <w:spacing w:val="10"/>
          <w:sz w:val="15"/>
          <w:szCs w:val="15"/>
        </w:rPr>
        <w:t xml:space="preserve">WHY CLEARBILL WINS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Not a chatbot wrapper. Every flag is grounded in deterministic logic or the insurer's own official code — never an LLM's guess. Zero false-positive risk on our core check.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Grounded in regulatory data most competitors skip: CMS pricing files, the national CARC/RARC denial-code registry, NPI provider records.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6130E"/>
          <w:sz w:val="18"/>
          <w:szCs w:val="18"/>
        </w:rPr>
        <w:t xml:space="preserve">Building the full loop — detection through confirmed refund — not a one-time scanner competitors can copy in a weekend.</w:t>
      </w:r>
    </w:p>
    <w:p>
      <w:pPr>
        <w:spacing w:after="95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PROOF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Live-verified against real Gemini calls. 27 automated tests passing. Two real bugs found and fixed pre-launch. Prices benchmarked against Stanford Health Care's own federally mandated pricing data.</w:t>
      </w:r>
    </w:p>
    <w:p>
      <w:pPr>
        <w:spacing w:after="95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MARKET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$220B in medical debt, 100M Americans, 1.5B bills issued annually. Competitors already charge 25–35% contingency fees to do this manually — proof the market pays for the outcome.</w:t>
      </w:r>
    </w:p>
    <w:p>
      <w:pPr>
        <w:spacing w:after="95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GO-TO-MARKET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A confirmed refund is inherently shareable — same content shape as viral tax-refund posts. Distribution is mapped: r/personalfinance, patient-advocacy communities, employer benefits partnerships (one deal reaches thousands of employees).</w:t>
      </w:r>
    </w:p>
    <w:p>
      <w:pPr>
        <w:spacing w:after="95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BUSINESS MODEL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Free scan → success fee on recovered savings → B2B2C through employer benefits platforms and TPAs.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THE ASK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Not raising today. We want 30 minutes with a fund that has real conviction in consumer healthcare fintech.</w:t>
      </w:r>
    </w:p>
    <w:p>
      <w:pPr>
        <w:spacing w:after="95"/>
      </w:pPr>
      <w:r>
        <w:rPr>
          <w:rFonts w:ascii="Arial" w:cs="Arial" w:eastAsia="Arial" w:hAnsi="Arial"/>
          <w:b/>
          <w:bCs/>
          <w:color w:val="2E7D3B"/>
          <w:sz w:val="15"/>
          <w:szCs w:val="15"/>
        </w:rPr>
        <w:t xml:space="preserve">TEAM   </w:t>
      </w:r>
      <w:r>
        <w:rPr>
          <w:rFonts w:ascii="Arial" w:cs="Arial" w:eastAsia="Arial" w:hAnsi="Arial"/>
          <w:color w:val="16130E"/>
          <w:sz w:val="18"/>
          <w:szCs w:val="18"/>
        </w:rPr>
        <w:t xml:space="preserve">Lu Lu — Wharton MBA, Penn M.S. Computer Science, product management intern at Adobe. Yiyan — go-to-market &amp; growth.</w:t>
      </w:r>
    </w:p>
    <w:sectPr>
      <w:pgSz w:w="12240" w:h="15840" w:orient="portrait"/>
      <w:pgMar w:top="540" w:right="540" w:bottom="54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2026-07-19T05:47:36.600Z</dcterms:created>
  <dcterms:modified xsi:type="dcterms:W3CDTF">2026-07-19T05:47:36.600Z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