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b/>
          <w:bCs/>
          <w:color w:val="0F172A"/>
          <w:sz w:val="44"/>
          <w:szCs w:val="44"/>
        </w:rPr>
        <w:t xml:space="preserve">ClearBill AI</w:t>
      </w:r>
    </w:p>
    <w:p>
      <w:pPr>
        <w:spacing w:after="160"/>
      </w:pPr>
      <w:r>
        <w:rPr>
          <w:i/>
          <w:iCs/>
          <w:color w:val="555555"/>
          <w:sz w:val="22"/>
          <w:szCs w:val="22"/>
        </w:rPr>
        <w:t xml:space="preserve">Find the money hospitals didn't mean to bill you.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3600"/>
        <w:gridCol w:w="3600"/>
      </w:tblGrid>
      <w:tr>
        <w:tc>
          <w:tcPr>
            <w:tcW w:type="dxa" w:w="36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2F2F2" w:val="clear"/>
            <w:tcMar>
              <w:top w:type="dxa" w:w="160"/>
              <w:left w:type="dxa" w:w="160"/>
              <w:bottom w:type="dxa" w:w="160"/>
              <w:right w:type="dxa" w:w="160"/>
            </w:tcMar>
          </w:tcPr>
          <w:p>
            <w:pPr>
              <w:jc w:val="center"/>
            </w:pPr>
            <w:r>
              <w:rPr>
                <w:b/>
                <w:bCs/>
                <w:color w:val="1A56DB"/>
                <w:sz w:val="30"/>
                <w:szCs w:val="30"/>
              </w:rPr>
              <w:t xml:space="preserve">49–80%</w:t>
            </w:r>
          </w:p>
          <w:p>
            <w:pPr>
              <w:spacing w:before="40"/>
              <w:jc w:val="center"/>
            </w:pPr>
            <w:r>
              <w:rPr>
                <w:color w:val="555555"/>
                <w:sz w:val="16"/>
                <w:szCs w:val="16"/>
              </w:rPr>
              <w:t xml:space="preserve">of medical bills contain errors</w:t>
            </w:r>
          </w:p>
        </w:tc>
        <w:tc>
          <w:tcPr>
            <w:tcW w:type="dxa" w:w="36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2F2F2" w:val="clear"/>
            <w:tcMar>
              <w:top w:type="dxa" w:w="160"/>
              <w:left w:type="dxa" w:w="160"/>
              <w:bottom w:type="dxa" w:w="160"/>
              <w:right w:type="dxa" w:w="160"/>
            </w:tcMar>
          </w:tcPr>
          <w:p>
            <w:pPr>
              <w:jc w:val="center"/>
            </w:pPr>
            <w:r>
              <w:rPr>
                <w:b/>
                <w:bCs/>
                <w:color w:val="1A56DB"/>
                <w:sz w:val="30"/>
                <w:szCs w:val="30"/>
              </w:rPr>
              <w:t xml:space="preserve">$88B</w:t>
            </w:r>
          </w:p>
          <w:p>
            <w:pPr>
              <w:spacing w:before="40"/>
              <w:jc w:val="center"/>
            </w:pPr>
            <w:r>
              <w:rPr>
                <w:color w:val="555555"/>
                <w:sz w:val="16"/>
                <w:szCs w:val="16"/>
              </w:rPr>
              <w:t xml:space="preserve">lost annually to billing mistakes</w:t>
            </w:r>
          </w:p>
        </w:tc>
        <w:tc>
          <w:tcPr>
            <w:tcW w:type="dxa" w:w="36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2F2F2" w:val="clear"/>
            <w:tcMar>
              <w:top w:type="dxa" w:w="160"/>
              <w:left w:type="dxa" w:w="160"/>
              <w:bottom w:type="dxa" w:w="160"/>
              <w:right w:type="dxa" w:w="160"/>
            </w:tcMar>
          </w:tcPr>
          <w:p>
            <w:pPr>
              <w:jc w:val="center"/>
            </w:pPr>
            <w:r>
              <w:rPr>
                <w:b/>
                <w:bCs/>
                <w:color w:val="1A56DB"/>
                <w:sz w:val="30"/>
                <w:szCs w:val="30"/>
              </w:rPr>
              <w:t xml:space="preserve">$220B</w:t>
            </w:r>
          </w:p>
          <w:p>
            <w:pPr>
              <w:spacing w:before="40"/>
              <w:jc w:val="center"/>
            </w:pPr>
            <w:r>
              <w:rPr>
                <w:color w:val="555555"/>
                <w:sz w:val="16"/>
                <w:szCs w:val="16"/>
              </w:rPr>
              <w:t xml:space="preserve">in medical debt held by 100M Americans</w:t>
            </w:r>
          </w:p>
        </w:tc>
      </w:tr>
    </w:tbl>
    <w:p>
      <w:pPr>
        <w:pStyle w:val="Heading2"/>
        <w:spacing w:after="80" w:before="220"/>
      </w:pPr>
      <w:r>
        <w:rPr>
          <w:b/>
          <w:bCs/>
          <w:color w:val="1A56DB"/>
          <w:sz w:val="24"/>
          <w:szCs w:val="24"/>
        </w:rPr>
        <w:t xml:space="preserve">The Problem</w:t>
      </w:r>
    </w:p>
    <w:p>
      <w:pPr>
        <w:spacing w:after="100"/>
      </w:pPr>
      <w:r>
        <w:rPr>
          <w:sz w:val="20"/>
          <w:szCs w:val="20"/>
        </w:rPr>
        <w:t xml:space="preserve">Nearly half to four-fifths of U.S. medical bills contain at least one error — duplicate charges, unbundled panels, or amounts that don't match the insurer's own Explanation of Benefits. On a $10,000+ hospital bill, that averages roughly $1,300 in overcharges. Physicians lose an estimated $125B/year and hospitals $68B/year to billing mistakes system-wide (CFPB, Medical Bill Rescue, 2025). Patients have no standardized way to dispute a bill — every hospital routes it through its own phone line, mail address, or fax, and reviewing a bill line-by-line against an EOB takes hours most people don't have. Most people just pay.</w:t>
      </w:r>
    </w:p>
    <w:p>
      <w:pPr>
        <w:pStyle w:val="Heading2"/>
        <w:spacing w:after="80" w:before="220"/>
      </w:pPr>
      <w:r>
        <w:rPr>
          <w:b/>
          <w:bCs/>
          <w:color w:val="1A56DB"/>
          <w:sz w:val="24"/>
          <w:szCs w:val="24"/>
        </w:rPr>
        <w:t xml:space="preserve">The Insight</w:t>
      </w:r>
    </w:p>
    <w:p>
      <w:pPr>
        <w:spacing w:after="100"/>
      </w:pPr>
      <w:r>
        <w:rPr>
          <w:sz w:val="20"/>
          <w:szCs w:val="20"/>
        </w:rPr>
        <w:t xml:space="preserve">This isn't a hypothetical — it's the same problem the UF Warrington College of Business documented in complex multi-leg trades' cousin industry: opaque, asymmetric-information markets where the side with less time and expertise simply absorbs the loss. Medical billing is that market at consumer scale, and no one has built a self-serve, instant tool for the patient side.</w:t>
      </w:r>
    </w:p>
    <w:p>
      <w:pPr>
        <w:pStyle w:val="Heading2"/>
        <w:spacing w:after="80" w:before="220"/>
      </w:pPr>
      <w:r>
        <w:rPr>
          <w:b/>
          <w:bCs/>
          <w:color w:val="1A56DB"/>
          <w:sz w:val="24"/>
          <w:szCs w:val="24"/>
        </w:rPr>
        <w:t xml:space="preserve">The Solution</w:t>
      </w:r>
    </w:p>
    <w:p>
      <w:pPr>
        <w:spacing w:after="100"/>
      </w:pPr>
      <w:r>
        <w:rPr>
          <w:sz w:val="20"/>
          <w:szCs w:val="20"/>
        </w:rPr>
        <w:t xml:space="preserve">Upload an itemized bill and its EOB. In under 60 seconds, ClearBill AI: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0"/>
          <w:szCs w:val="20"/>
        </w:rPr>
        <w:t xml:space="preserve">Extracts every line item and CPT/HCPCS code using Gemini multimodal document understanding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0"/>
          <w:szCs w:val="20"/>
        </w:rPr>
        <w:t xml:space="preserve">Flags exact duplicate charges — same code, same date, same encounter — a deterministic check with zero false positives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0"/>
          <w:szCs w:val="20"/>
        </w:rPr>
        <w:t xml:space="preserve">Cross-checks charges against CMS's own National Correct Coding Initiative (NCCI) Procedure-to-Procedure edits and Medically Unlikely Edits — the same public rule tables Medicare auditors use — flagging possible unbundling for review, never asserting fraud outright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0"/>
          <w:szCs w:val="20"/>
        </w:rPr>
        <w:t xml:space="preserve">Generates a ready-to-send dispute letter citing the specific code, date, and rule violated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0"/>
          <w:szCs w:val="20"/>
        </w:rPr>
        <w:t xml:space="preserve">Auto-faxes the letter directly to the hospital's billing department on the patient's command</w:t>
      </w:r>
    </w:p>
    <w:p>
      <w:pPr>
        <w:pStyle w:val="Heading2"/>
        <w:spacing w:after="80" w:before="220"/>
      </w:pPr>
      <w:r>
        <w:rPr>
          <w:b/>
          <w:bCs/>
          <w:color w:val="1A56DB"/>
          <w:sz w:val="24"/>
          <w:szCs w:val="24"/>
        </w:rPr>
        <w:t xml:space="preserve">Proof It's Real, Not Hypothetical</w:t>
      </w:r>
    </w:p>
    <w:p>
      <w:pPr>
        <w:spacing w:after="100"/>
      </w:pPr>
      <w:r>
        <w:rPr>
          <w:sz w:val="20"/>
          <w:szCs w:val="20"/>
        </w:rPr>
        <w:t xml:space="preserve">We validated our pricing logic against Stanford Health Care's own CMS-mandated price transparency file (100% public data, updated April 2026). A single ER visit at Stanford can carry the following gross charges:</w:t>
      </w:r>
    </w:p>
    <w:p>
      <w:pPr>
        <w:spacing w:after="160" w:before="80"/>
      </w:pP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5200"/>
        <w:gridCol w:w="2000"/>
        <w:gridCol w:w="2000"/>
      </w:tblGrid>
      <w:tr>
        <w:trPr>
          <w:tblHeader/>
        </w:trPr>
        <w:tc>
          <w:tcPr>
            <w:tcW w:type="dxa" w:w="1800"/>
            <w:shd w:fill="1A56D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CPT Code</w:t>
            </w:r>
          </w:p>
        </w:tc>
        <w:tc>
          <w:tcPr>
            <w:tcW w:type="dxa" w:w="5200"/>
            <w:shd w:fill="1A56D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Service</w:t>
            </w:r>
          </w:p>
        </w:tc>
        <w:tc>
          <w:tcPr>
            <w:tcW w:type="dxa" w:w="2000"/>
            <w:shd w:fill="1A56D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Gross Charge</w:t>
            </w:r>
          </w:p>
        </w:tc>
        <w:tc>
          <w:tcPr>
            <w:tcW w:type="dxa" w:w="2000"/>
            <w:shd w:fill="1A56D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Cash Price</w:t>
            </w:r>
          </w:p>
        </w:tc>
      </w:tr>
      <w:tr>
        <w:tc>
          <w:tcPr>
            <w:tcW w:type="dxa" w:w="18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99285</w:t>
            </w:r>
          </w:p>
        </w:tc>
        <w:tc>
          <w:tcPr>
            <w:tcW w:type="dxa" w:w="52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ER visit, Level 5 / Trauma</w:t>
            </w:r>
          </w:p>
        </w:tc>
        <w:tc>
          <w:tcPr>
            <w:tcW w:type="dxa" w:w="20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$15,270.00</w:t>
            </w:r>
          </w:p>
        </w:tc>
        <w:tc>
          <w:tcPr>
            <w:tcW w:type="dxa" w:w="20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$6,108.00</w:t>
            </w:r>
          </w:p>
        </w:tc>
      </w:tr>
      <w:tr>
        <w:tc>
          <w:tcPr>
            <w:tcW w:type="dxa" w:w="1800"/>
            <w:shd w:fill="F7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74177</w:t>
            </w:r>
          </w:p>
        </w:tc>
        <w:tc>
          <w:tcPr>
            <w:tcW w:type="dxa" w:w="5200"/>
            <w:shd w:fill="F7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CT Abdomen-Pelvis w/Contrast</w:t>
            </w:r>
          </w:p>
        </w:tc>
        <w:tc>
          <w:tcPr>
            <w:tcW w:type="dxa" w:w="2000"/>
            <w:shd w:fill="F7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$17,197.00</w:t>
            </w:r>
          </w:p>
        </w:tc>
        <w:tc>
          <w:tcPr>
            <w:tcW w:type="dxa" w:w="2000"/>
            <w:shd w:fill="F7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$6,878.80</w:t>
            </w:r>
          </w:p>
        </w:tc>
      </w:tr>
      <w:tr>
        <w:tc>
          <w:tcPr>
            <w:tcW w:type="dxa" w:w="18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80053</w:t>
            </w:r>
          </w:p>
        </w:tc>
        <w:tc>
          <w:tcPr>
            <w:tcW w:type="dxa" w:w="52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Comprehensive Metabolic Panel</w:t>
            </w:r>
          </w:p>
        </w:tc>
        <w:tc>
          <w:tcPr>
            <w:tcW w:type="dxa" w:w="20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$1,243.00</w:t>
            </w:r>
          </w:p>
        </w:tc>
        <w:tc>
          <w:tcPr>
            <w:tcW w:type="dxa" w:w="20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$497.20</w:t>
            </w:r>
          </w:p>
        </w:tc>
      </w:tr>
      <w:tr>
        <w:tc>
          <w:tcPr>
            <w:tcW w:type="dxa" w:w="1800"/>
            <w:shd w:fill="F7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85025</w:t>
            </w:r>
          </w:p>
        </w:tc>
        <w:tc>
          <w:tcPr>
            <w:tcW w:type="dxa" w:w="5200"/>
            <w:shd w:fill="F7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CBC w/Auto Differential</w:t>
            </w:r>
          </w:p>
        </w:tc>
        <w:tc>
          <w:tcPr>
            <w:tcW w:type="dxa" w:w="2000"/>
            <w:shd w:fill="F7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$445.00</w:t>
            </w:r>
          </w:p>
        </w:tc>
        <w:tc>
          <w:tcPr>
            <w:tcW w:type="dxa" w:w="2000"/>
            <w:shd w:fill="F7F9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$178.00</w:t>
            </w:r>
          </w:p>
        </w:tc>
      </w:tr>
      <w:tr>
        <w:tc>
          <w:tcPr>
            <w:tcW w:type="dxa" w:w="18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36415</w:t>
            </w:r>
          </w:p>
        </w:tc>
        <w:tc>
          <w:tcPr>
            <w:tcW w:type="dxa" w:w="52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Venipuncture</w:t>
            </w:r>
          </w:p>
        </w:tc>
        <w:tc>
          <w:tcPr>
            <w:tcW w:type="dxa" w:w="20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$112.00</w:t>
            </w:r>
          </w:p>
        </w:tc>
        <w:tc>
          <w:tcPr>
            <w:tcW w:type="dxa" w:w="20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$44.80</w:t>
            </w:r>
          </w:p>
        </w:tc>
      </w:tr>
    </w:tbl>
    <w:p>
      <w:pPr>
        <w:pStyle w:val="Heading2"/>
        <w:spacing w:after="80" w:before="220"/>
      </w:pPr>
      <w:r>
        <w:rPr>
          <w:b/>
          <w:bCs/>
          <w:color w:val="1A56DB"/>
          <w:sz w:val="24"/>
          <w:szCs w:val="24"/>
        </w:rPr>
        <w:t xml:space="preserve">Why Now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0"/>
          <w:szCs w:val="20"/>
        </w:rPr>
        <w:t xml:space="preserve">CFPB's 2025 rule barring medical debt from credit reports has sharpened scrutiny on billing accuracy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0"/>
          <w:szCs w:val="20"/>
        </w:rPr>
        <w:t xml:space="preserve">Gemini's multimodal document understanding + Live API make what used to require a $200/hr patient advocate instant and free to start</w:t>
      </w:r>
    </w:p>
    <w:p>
      <w:pPr>
        <w:pStyle w:val="Heading2"/>
        <w:spacing w:after="80" w:before="220"/>
      </w:pPr>
      <w:r>
        <w:rPr>
          <w:b/>
          <w:bCs/>
          <w:color w:val="1A56DB"/>
          <w:sz w:val="24"/>
          <w:szCs w:val="24"/>
        </w:rPr>
        <w:t xml:space="preserve">Market</w:t>
      </w:r>
    </w:p>
    <w:p>
      <w:pPr>
        <w:spacing w:after="100"/>
      </w:pPr>
      <w:r>
        <w:rPr>
          <w:sz w:val="20"/>
          <w:szCs w:val="20"/>
        </w:rPr>
        <w:t xml:space="preserve">100M+ Americans currently hold medical debt; roughly 1.5B medical bills are issued in the U.S. annually. Existing white-glove medical-bill advocacy services (Resolve, GoodBill) charge 25–35% contingency fees — evidence of clear willingness to pay against a multi-billion-dollar pool of disputed medical debt.</w:t>
      </w:r>
    </w:p>
    <w:p>
      <w:pPr>
        <w:pStyle w:val="Heading2"/>
        <w:spacing w:after="80" w:before="220"/>
      </w:pPr>
      <w:r>
        <w:rPr>
          <w:b/>
          <w:bCs/>
          <w:color w:val="1A56DB"/>
          <w:sz w:val="24"/>
          <w:szCs w:val="24"/>
        </w:rPr>
        <w:t xml:space="preserve">Business Model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0"/>
          <w:szCs w:val="20"/>
        </w:rPr>
        <w:t xml:space="preserve">Freemium: free bill scan + evidence report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0"/>
          <w:szCs w:val="20"/>
        </w:rPr>
        <w:t xml:space="preserve">Success fee on verified, recovered savings once a dispute resolves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0"/>
          <w:szCs w:val="20"/>
        </w:rPr>
        <w:t xml:space="preserve">B2B2C: white-label for employer benefits packages, patient advocacy nonprofits, and TPAs</w:t>
      </w:r>
    </w:p>
    <w:p>
      <w:pPr>
        <w:pStyle w:val="Heading2"/>
        <w:spacing w:after="80" w:before="220"/>
      </w:pPr>
      <w:r>
        <w:rPr>
          <w:b/>
          <w:bCs/>
          <w:color w:val="1A56DB"/>
          <w:sz w:val="24"/>
          <w:szCs w:val="24"/>
        </w:rPr>
        <w:t xml:space="preserve">The Ask</w:t>
      </w:r>
    </w:p>
    <w:p>
      <w:pPr>
        <w:spacing w:after="100"/>
      </w:pPr>
      <w:r>
        <w:rPr>
          <w:sz w:val="20"/>
          <w:szCs w:val="20"/>
        </w:rPr>
        <w:t xml:space="preserve">We're seeking pitch access to validate detection accuracy against real, anonymized billing datasets and explore integration partnerships with patient advocacy networks and self-insured employers.</w:t>
      </w:r>
    </w:p>
    <w:p>
      <w:pPr>
        <w:pStyle w:val="Heading2"/>
        <w:spacing w:after="80" w:before="220"/>
      </w:pPr>
      <w:r>
        <w:rPr>
          <w:b/>
          <w:bCs/>
          <w:color w:val="1A56DB"/>
          <w:sz w:val="24"/>
          <w:szCs w:val="24"/>
        </w:rPr>
        <w:t xml:space="preserve">Team</w:t>
      </w:r>
    </w:p>
    <w:p>
      <w:pPr>
        <w:spacing w:after="100"/>
      </w:pPr>
      <w:r>
        <w:rPr>
          <w:sz w:val="20"/>
          <w:szCs w:val="20"/>
        </w:rPr>
        <w:t xml:space="preserve">[Team member names, roles, and one line of relevant background — fill in before submission]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2026-07-17T02:50:02.663Z</dcterms:created>
  <dcterms:modified xsi:type="dcterms:W3CDTF">2026-07-17T02:50:02.663Z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