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27A3" w:rsidRDefault="00000000">
      <w:pPr>
        <w:pStyle w:val="1"/>
        <w:jc w:val="center"/>
        <w:rPr>
          <w:rFonts w:hint="eastAsia"/>
        </w:rPr>
      </w:pPr>
      <w:r>
        <w:t>第三部分  总体方案设计与技术路线（修改完善版）</w:t>
      </w:r>
    </w:p>
    <w:p w:rsidR="008627A3" w:rsidRDefault="00000000">
      <w:pPr>
        <w:pStyle w:val="2"/>
        <w:rPr>
          <w:rFonts w:hint="eastAsia"/>
        </w:rPr>
      </w:pPr>
      <w:r>
        <w:t>3.1 总体设计目标</w:t>
      </w:r>
    </w:p>
    <w:p w:rsidR="008627A3" w:rsidRDefault="00000000">
      <w:pPr>
        <w:pStyle w:val="3"/>
        <w:rPr>
          <w:rFonts w:hint="eastAsia"/>
        </w:rPr>
      </w:pPr>
      <w:r>
        <w:t>3.1.1 设计理念</w:t>
      </w:r>
    </w:p>
    <w:p w:rsidR="008627A3" w:rsidRDefault="00000000">
      <w:r>
        <w:rPr>
          <w:rFonts w:ascii="宋体" w:eastAsia="宋体" w:hAnsi="宋体"/>
        </w:rPr>
        <w:t>针对连续纤维复合材料增材制造中纤维送料不稳定、纤维与树脂比例难以调节、浸润与压实不足、机械臂轨迹与材料沉积不同步、复杂曲面打印过程难以监测以及制造数据难以追溯等问题，本项目提出一种面向航空复杂结构构件的机械臂式连续纤维复合材料一体化增材制造系统。系统以成熟六轴工业机械臂作为运动执行平台，在末端集成连续纤维打印头和弹性压实机构</w:t>
      </w:r>
      <w:r>
        <w:rPr>
          <w:rFonts w:ascii="宋体" w:eastAsia="宋体" w:hAnsi="宋体" w:hint="eastAsia"/>
        </w:rPr>
        <w:t>（压辊）</w:t>
      </w:r>
      <w:r>
        <w:rPr>
          <w:rFonts w:ascii="宋体" w:eastAsia="宋体" w:hAnsi="宋体"/>
        </w:rPr>
        <w:t>，以工控机、机械臂控制器和独立工艺控制器</w:t>
      </w:r>
      <w:r>
        <w:rPr>
          <w:rFonts w:ascii="宋体" w:eastAsia="宋体" w:hAnsi="宋体" w:hint="eastAsia"/>
        </w:rPr>
        <w:t>（红外传感器、六维力传感器等）</w:t>
      </w:r>
      <w:r>
        <w:rPr>
          <w:rFonts w:ascii="宋体" w:eastAsia="宋体" w:hAnsi="宋体"/>
        </w:rPr>
        <w:t>构成分层控制架构，并通过在线状态感知与轻量化数字孪生实现打印前虚拟调试、打印中状态同步和打印后质量追溯。</w:t>
      </w:r>
    </w:p>
    <w:p w:rsidR="008627A3" w:rsidRDefault="00000000">
      <w:r>
        <w:rPr>
          <w:rFonts w:ascii="宋体" w:eastAsia="宋体" w:hAnsi="宋体"/>
        </w:rPr>
        <w:t>总体流程为：构件需求与轻量化设计—有限元分析与纤维铺层设计—机械臂路径规划—工艺窗口确定—材料供给与浸润—机械臂协同打印—在线状态感知—异常分级处置—数字孪生映射—性能检测与工艺迭代。</w:t>
      </w:r>
    </w:p>
    <w:p w:rsidR="008627A3" w:rsidRDefault="00000000">
      <w:r>
        <w:rPr>
          <w:rFonts w:ascii="宋体" w:eastAsia="宋体" w:hAnsi="宋体"/>
        </w:rPr>
        <w:t>项目遵循五项基本原则：一是以确定性控制保证基本成形稳定性；二是采用模块化结构，将机械臂、打印头、送料、浸润、检测和数字孪生模块分别设计并逐级联调；三是采用“台架验证优先、整机验证递进”的实施方式，减少连续碳纤维和树脂的消耗；四是在线检测可直接测量的表面和过程状态；五是将数字孪生定位为虚拟调试、状态映射和质量追溯平台，不盲目建立难以实时运行的全物理场高保真模型。</w:t>
      </w:r>
    </w:p>
    <w:p w:rsidR="008627A3" w:rsidRDefault="00000000">
      <w:pPr>
        <w:pStyle w:val="3"/>
        <w:rPr>
          <w:rFonts w:hint="eastAsia"/>
        </w:rPr>
      </w:pPr>
      <w:r>
        <w:t>3.1.2 总体目标</w:t>
      </w:r>
    </w:p>
    <w:p w:rsidR="008627A3" w:rsidRDefault="00000000">
      <w:pPr>
        <w:pStyle w:val="a4"/>
      </w:pPr>
      <w:r>
        <w:rPr>
          <w:rFonts w:ascii="黑体" w:eastAsia="黑体" w:hAnsi="黑体"/>
          <w:b/>
        </w:rPr>
        <w:t>（1）</w:t>
      </w:r>
      <w:r>
        <w:rPr>
          <w:rFonts w:ascii="宋体" w:eastAsia="宋体" w:hAnsi="宋体"/>
        </w:rPr>
        <w:t>实现连续纤维稳定供给。通过放卷、浮动张力缓冲、主动送料和编码器反馈，使纤维在机械臂加速、减速和转弯过程中保持连续输送，降低松弛、打滑、卡丝和断丝风险。</w:t>
      </w:r>
    </w:p>
    <w:p w:rsidR="008627A3" w:rsidRDefault="00000000">
      <w:pPr>
        <w:pStyle w:val="a4"/>
      </w:pPr>
      <w:r>
        <w:rPr>
          <w:rFonts w:ascii="黑体" w:eastAsia="黑体" w:hAnsi="黑体"/>
          <w:b/>
        </w:rPr>
        <w:t>（2）</w:t>
      </w:r>
      <w:r>
        <w:rPr>
          <w:rFonts w:ascii="宋体" w:eastAsia="宋体" w:hAnsi="宋体"/>
        </w:rPr>
        <w:t>实现纤维—树脂比例的可计算与可调节。保留原位浸润总体方案，但将其划分为独立台架验证和机械臂打印验证两个层级；比赛阶段重点完成计量关系、浸润腔结构和供料联动验证，必要时可使用预浸连续纤维材料完成机械臂打印演示。</w:t>
      </w:r>
    </w:p>
    <w:p w:rsidR="008627A3" w:rsidRDefault="00000000">
      <w:pPr>
        <w:pStyle w:val="a4"/>
      </w:pPr>
      <w:r>
        <w:rPr>
          <w:rFonts w:ascii="黑体" w:eastAsia="黑体" w:hAnsi="黑体"/>
          <w:b/>
        </w:rPr>
        <w:t>（3）</w:t>
      </w:r>
      <w:r>
        <w:rPr>
          <w:rFonts w:ascii="宋体" w:eastAsia="宋体" w:hAnsi="宋体"/>
        </w:rPr>
        <w:t>实现机械臂复杂路径连续打印。基于六轴机械臂完成工具中心点标定、成形平台坐标标定、路径位置与姿态规划、可达性和碰撞检查，并通过限制打印区域、速度和姿态变化提高轨迹稳定性。</w:t>
      </w:r>
    </w:p>
    <w:p w:rsidR="008627A3" w:rsidRDefault="00000000">
      <w:pPr>
        <w:pStyle w:val="a4"/>
      </w:pPr>
      <w:r>
        <w:rPr>
          <w:rFonts w:ascii="黑体" w:eastAsia="黑体" w:hAnsi="黑体"/>
          <w:b/>
        </w:rPr>
        <w:t>（4）</w:t>
      </w:r>
      <w:r>
        <w:rPr>
          <w:rFonts w:ascii="宋体" w:eastAsia="宋体" w:hAnsi="宋体"/>
        </w:rPr>
        <w:t>提高层间热熔结合与压实稳定性。采用纤维/材料预热、喷嘴熔融与层间再加热三级热管理思路，并配置弹性压实轮或浮动压实结构，补偿机械臂绝对定位误差和已打印层的局部高度波动。</w:t>
      </w:r>
    </w:p>
    <w:p w:rsidR="008627A3" w:rsidRDefault="00000000">
      <w:pPr>
        <w:pStyle w:val="a4"/>
      </w:pPr>
      <w:r>
        <w:rPr>
          <w:rFonts w:ascii="黑体" w:eastAsia="黑体" w:hAnsi="黑体"/>
          <w:b/>
        </w:rPr>
        <w:lastRenderedPageBreak/>
        <w:t>（5）</w:t>
      </w:r>
      <w:r>
        <w:rPr>
          <w:rFonts w:ascii="宋体" w:eastAsia="宋体" w:hAnsi="宋体"/>
        </w:rPr>
        <w:t>建立全过程在线状态感知。实时采集机械臂末端位置与速度、实际送料速度、纤维张力、喷嘴温度、平台温度、轨迹宽度、轨迹中心偏差</w:t>
      </w:r>
      <w:r>
        <w:rPr>
          <w:rFonts w:ascii="宋体" w:eastAsia="宋体" w:hAnsi="宋体" w:hint="eastAsia"/>
        </w:rPr>
        <w:t>、</w:t>
      </w:r>
      <w:r>
        <w:rPr>
          <w:rFonts w:ascii="宋体" w:eastAsia="宋体" w:hAnsi="宋体"/>
        </w:rPr>
        <w:t>轨迹连续性</w:t>
      </w:r>
      <w:r>
        <w:rPr>
          <w:rFonts w:ascii="宋体" w:eastAsia="宋体" w:hAnsi="宋体" w:hint="eastAsia"/>
        </w:rPr>
        <w:t>、</w:t>
      </w:r>
      <w:r>
        <w:rPr>
          <w:rFonts w:ascii="宋体" w:eastAsia="宋体" w:hAnsi="宋体"/>
        </w:rPr>
        <w:t>激光位移、红外热像和压实力</w:t>
      </w:r>
      <w:r>
        <w:rPr>
          <w:rFonts w:ascii="宋体" w:eastAsia="宋体" w:hAnsi="宋体" w:hint="eastAsia"/>
        </w:rPr>
        <w:t>（有些做不到的可以不要）</w:t>
      </w:r>
      <w:r>
        <w:rPr>
          <w:rFonts w:ascii="宋体" w:eastAsia="宋体" w:hAnsi="宋体"/>
        </w:rPr>
        <w:t>。</w:t>
      </w:r>
    </w:p>
    <w:p w:rsidR="008627A3" w:rsidRDefault="00000000">
      <w:pPr>
        <w:pStyle w:val="a4"/>
        <w:rPr>
          <w:rFonts w:ascii="宋体" w:eastAsia="宋体" w:hAnsi="宋体" w:hint="eastAsia"/>
        </w:rPr>
      </w:pPr>
      <w:r>
        <w:rPr>
          <w:rFonts w:ascii="黑体" w:eastAsia="黑体" w:hAnsi="黑体"/>
          <w:b/>
        </w:rPr>
        <w:t>（6）</w:t>
      </w:r>
      <w:r>
        <w:rPr>
          <w:rFonts w:ascii="宋体" w:eastAsia="宋体" w:hAnsi="宋体"/>
        </w:rPr>
        <w:t>建立小样本异常检测与分级处置机制。优先采用传统图像测量和传感器阈值判断，对轨迹偏窄、轨迹偏移和轨迹中断等典型异常进行识别；</w:t>
      </w:r>
      <w:r>
        <w:rPr>
          <w:rFonts w:ascii="宋体" w:eastAsia="宋体" w:hAnsi="宋体" w:hint="eastAsia"/>
        </w:rPr>
        <w:t>（相当于一个小型的神经网络，对一些简单的错误进行训练，然后在打印时就可以实时检测这些错误。）</w:t>
      </w:r>
    </w:p>
    <w:p w:rsidR="008627A3" w:rsidRDefault="00000000">
      <w:pPr>
        <w:pStyle w:val="a4"/>
      </w:pPr>
      <w:r>
        <w:rPr>
          <w:rFonts w:ascii="黑体" w:eastAsia="黑体" w:hAnsi="黑体"/>
          <w:b/>
        </w:rPr>
        <w:t>（7）</w:t>
      </w:r>
      <w:r>
        <w:rPr>
          <w:rFonts w:ascii="宋体" w:eastAsia="宋体" w:hAnsi="宋体"/>
        </w:rPr>
        <w:t>构建轻量化数字孪生系统。实现机械臂和打印头三维模型、打印路径虚拟调试、实体状态实时映射、异常位置空间标记、过程数据回放和数字质量风险地图。</w:t>
      </w:r>
    </w:p>
    <w:p w:rsidR="008627A3" w:rsidRDefault="00000000">
      <w:pPr>
        <w:pStyle w:val="3"/>
        <w:rPr>
          <w:rFonts w:hint="eastAsia"/>
        </w:rPr>
      </w:pPr>
      <w:r>
        <w:t>3.1.</w:t>
      </w:r>
      <w:r>
        <w:rPr>
          <w:rFonts w:hint="eastAsia"/>
        </w:rPr>
        <w:t xml:space="preserve">3 </w:t>
      </w:r>
      <w:r>
        <w:t>参数选择</w:t>
      </w:r>
    </w:p>
    <w:p w:rsidR="008627A3" w:rsidRDefault="00000000">
      <w:r>
        <w:rPr>
          <w:rFonts w:ascii="宋体" w:eastAsia="宋体" w:hAnsi="宋体"/>
        </w:rPr>
        <w:t>根据喷嘴出口尺寸、纤维束宽度、机械臂路径误差和送料能力给出初始层厚、轨迹宽度、打印速度、张力和压实力范围；最后使用小型直线、圆弧和转角试样进行标定。优先研究4个主因素，即喷嘴温度、打印速度、纤维张力和压实量，。</w:t>
      </w:r>
    </w:p>
    <w:p w:rsidR="008627A3" w:rsidRDefault="00000000">
      <w:pPr>
        <w:pStyle w:val="2"/>
        <w:rPr>
          <w:rFonts w:hint="eastAsia"/>
        </w:rPr>
      </w:pPr>
      <w:r>
        <w:t>3.2 系统总体方案设计</w:t>
      </w:r>
    </w:p>
    <w:p w:rsidR="008627A3" w:rsidRDefault="00000000">
      <w:pPr>
        <w:pStyle w:val="3"/>
        <w:rPr>
          <w:rFonts w:hint="eastAsia"/>
        </w:rPr>
      </w:pPr>
      <w:r>
        <w:t>3.2.1 系统总体组成与分层架构</w:t>
      </w:r>
    </w:p>
    <w:p w:rsidR="008627A3" w:rsidRDefault="00000000">
      <w:r>
        <w:rPr>
          <w:rFonts w:ascii="宋体" w:eastAsia="宋体" w:hAnsi="宋体"/>
        </w:rPr>
        <w:t>系统由物理设备层、实时控制层、状态感知层、数字孪生层和应用服务层组成。物理设备层完成材料供给、加热、浸润、沉积、压实和机械臂运动；实时控制层完成机械臂任务协调、送料电机控制、温度控制、张力控制和安全联锁；状态感知层完成机械臂状态、材料状态、热状态和成形几何采集；数字孪生层完成几何模型、运动学模型、简化工艺模型和质量风险模型的虚实映射；应用服务层完成路径规划、虚拟调试、过程监控、报警、回放和质量追溯。</w:t>
      </w:r>
    </w:p>
    <w:p w:rsidR="008627A3" w:rsidRDefault="00000000">
      <w:pPr>
        <w:rPr>
          <w:rFonts w:ascii="宋体" w:eastAsia="宋体" w:hAnsi="宋体" w:hint="eastAsia"/>
        </w:rPr>
      </w:pPr>
      <w:r>
        <w:rPr>
          <w:rFonts w:ascii="宋体" w:eastAsia="宋体" w:hAnsi="宋体"/>
        </w:rPr>
        <w:t>控制系统采用“工业PC＋机械臂原厂控制器＋PLC”的架构。机械臂关节伺服和轨迹插补由原厂控制器完成，</w:t>
      </w:r>
    </w:p>
    <w:p w:rsidR="008627A3" w:rsidRDefault="00000000">
      <w:r>
        <w:rPr>
          <w:rFonts w:ascii="宋体" w:eastAsia="宋体" w:hAnsi="宋体"/>
        </w:rPr>
        <w:t>PLC负责送料、加热、传感器采集和安全逻辑，工业PC负责路径规划、视觉检测、数字孪生和数据管理。不同设备之间可根据现有条件采用EtherCAT、Modbus TCP、TCP/IP或OPC UA通信。</w:t>
      </w:r>
    </w:p>
    <w:p w:rsidR="008627A3" w:rsidRDefault="00000000">
      <w:pPr>
        <w:pStyle w:val="3"/>
        <w:rPr>
          <w:rFonts w:hint="eastAsia"/>
        </w:rPr>
      </w:pPr>
      <w:r>
        <w:t>3.2.2 连续纤维送料与张力控制系统</w:t>
      </w:r>
    </w:p>
    <w:p w:rsidR="008627A3" w:rsidRDefault="00000000">
      <w:r>
        <w:rPr>
          <w:rFonts w:ascii="宋体" w:eastAsia="宋体" w:hAnsi="宋体"/>
        </w:rPr>
        <w:t>送料系统包括纤维卷架、被动放卷轴、可调摩擦制动器、导向轮、浮动张力缓冲机构、张力传感器、主动送料轮、送料伺服电机、编码器和断丝检测装置。为降低末端负载，纤维卷、主动送料电机和主要张力调节机构宜布置在机械臂外部固定支架上，打印头仅保留必要的导向和短距离送入结构。送料软管和纤维路径需随机械臂姿态变化进行拖链或悬挂布置，避免弯曲半径过小和管线对机械臂末端产生附加拉力。</w:t>
      </w:r>
    </w:p>
    <w:p w:rsidR="008627A3" w:rsidRDefault="00000000">
      <w:r>
        <w:rPr>
          <w:rFonts w:ascii="宋体" w:eastAsia="宋体" w:hAnsi="宋体"/>
        </w:rPr>
        <w:t>张力传感器量程应根据试验目标选择。若初始张力设定为3～8 N，可优先选择0～20 N或0～30 N量程的传感器，使常用工作点位于量程中段；若未来使用更宽纤维束，可扩展至0～50 N。传感器采样频率建议不低于100 Hz，控制器对原始信号采用低通滤波或滑动平均，防止导向轮振动和机器人姿态变化造成误触发。</w:t>
      </w:r>
    </w:p>
    <w:p w:rsidR="008627A3" w:rsidRDefault="00000000">
      <w:r>
        <w:rPr>
          <w:rFonts w:ascii="宋体" w:eastAsia="宋体" w:hAnsi="宋体"/>
        </w:rPr>
        <w:t>送料速度以前馈为主、张力反馈为辅。机器人控制器或上位机输出实际末端速度v，控制器根据标定系数k</w:t>
      </w:r>
      <w:r>
        <w:rPr>
          <w:rFonts w:ascii="宋体" w:eastAsia="宋体" w:hAnsi="宋体"/>
          <w:vertAlign w:val="subscript"/>
        </w:rPr>
        <w:t>f</w:t>
      </w:r>
      <w:r>
        <w:rPr>
          <w:rFonts w:ascii="宋体" w:eastAsia="宋体" w:hAnsi="宋体"/>
        </w:rPr>
        <w:t>计算主动送料目标速度v</w:t>
      </w:r>
      <w:r>
        <w:rPr>
          <w:rFonts w:ascii="宋体" w:eastAsia="宋体" w:hAnsi="宋体"/>
          <w:vertAlign w:val="subscript"/>
        </w:rPr>
        <w:t>f</w:t>
      </w:r>
      <w:r>
        <w:rPr>
          <w:rFonts w:ascii="宋体" w:eastAsia="宋体" w:hAnsi="宋体"/>
        </w:rPr>
        <w:t>=k</w:t>
      </w:r>
      <w:r>
        <w:rPr>
          <w:rFonts w:ascii="宋体" w:eastAsia="宋体" w:hAnsi="宋体"/>
          <w:vertAlign w:val="subscript"/>
        </w:rPr>
        <w:t>f</w:t>
      </w:r>
      <w:r>
        <w:rPr>
          <w:rFonts w:ascii="宋体" w:eastAsia="宋体" w:hAnsi="宋体"/>
        </w:rPr>
        <w:t>·v；张力闭环根据目标张力与实际张力之差，对送料速度施加小幅修正。k</w:t>
      </w:r>
      <w:r>
        <w:rPr>
          <w:rFonts w:ascii="宋体" w:eastAsia="宋体" w:hAnsi="宋体"/>
          <w:vertAlign w:val="subscript"/>
        </w:rPr>
        <w:t>f</w:t>
      </w:r>
      <w:r>
        <w:rPr>
          <w:rFonts w:ascii="宋体" w:eastAsia="宋体" w:hAnsi="宋体"/>
        </w:rPr>
        <w:t>初始取1.0，再通过单位路径长度的实际送料长度、轨迹宽度和纤维松弛情况进行标定。在启动、停止和急转角区域，应设置送料提前量和滞后量，避免机器人已运动而材料尚未稳定输出，或机器人已停止但材料仍继续堆积。</w:t>
      </w:r>
    </w:p>
    <w:p w:rsidR="008627A3" w:rsidRDefault="00000000">
      <w:pPr>
        <w:pStyle w:val="3"/>
        <w:rPr>
          <w:rFonts w:hint="eastAsia"/>
        </w:rPr>
      </w:pPr>
      <w:r>
        <w:t>3.2.3 树脂供给与原位浸润系统</w:t>
      </w:r>
    </w:p>
    <w:p w:rsidR="008627A3" w:rsidRDefault="00000000">
      <w:r>
        <w:rPr>
          <w:rFonts w:ascii="宋体" w:eastAsia="宋体" w:hAnsi="宋体"/>
        </w:rPr>
        <w:t>原方案采用连续干纤维进入打印头后与熔融树脂实时浸润的路线，该思路具有纤维—树脂比例可调的优势，但对热塑性树脂熔融、计量、压力密封、气泡排出和末端轻量化要求较高。为提高方案的可实施性，本项目</w:t>
      </w:r>
      <w:r>
        <w:rPr>
          <w:rFonts w:ascii="宋体" w:eastAsia="宋体" w:hAnsi="宋体" w:hint="eastAsia"/>
        </w:rPr>
        <w:t>采用</w:t>
      </w:r>
      <w:r>
        <w:rPr>
          <w:rFonts w:ascii="宋体" w:eastAsia="宋体" w:hAnsi="宋体"/>
        </w:rPr>
        <w:t>原位浸润总体结构，同时采用分阶段验证：首先完成独立浸润台架和单道沉积验证；若机械臂末端原位浸润模块尚未达到稳定状态，可使用预浸连续纤维材料完成机械臂路径、控制、在线检测和数字孪生演示。</w:t>
      </w:r>
    </w:p>
    <w:p w:rsidR="008627A3" w:rsidRDefault="00000000">
      <w:r>
        <w:rPr>
          <w:rFonts w:ascii="宋体" w:eastAsia="宋体" w:hAnsi="宋体"/>
        </w:rPr>
        <w:t>对于热塑性树脂，建议将树脂熔融和主要计量装置布置在机械臂外部，采用小型螺杆塑化单元或耐高温计量齿轮泵，经保温软管输送至末端紧凑浸润腔。末端浸润腔包括纤维展宽导向、树脂入口、短程压力浸润区、窄间隙计量区、排气通道和打印喷嘴。原方案中的柱塞泵更适合低黏度液体，若采用高黏度热塑性熔体，应优先评估齿轮泵或微型螺杆方案。真空辅助可作为台架研究的可选功能，不宜将“完全消除气泡和孔隙”作为比赛阶段承诺。</w:t>
      </w:r>
    </w:p>
    <w:p w:rsidR="008627A3" w:rsidRDefault="00000000">
      <w:r>
        <w:rPr>
          <w:rFonts w:ascii="宋体" w:eastAsia="宋体" w:hAnsi="宋体"/>
        </w:rPr>
        <w:t>树脂需求量可由目标沉积截面和纤维体积分数计算。设打印速度为v，轨迹等效宽度为w，层厚为h，目标纤维体积分数为V_f，则理想树脂体积流量可写为Q_m=(1−V_f)·v·w·h；纤维体积流量为Q_f=V_f·v·w·h。实际控制中引入计量修正系数k_c，即Q_m,cmd=k_c·Q_m。k_c初始取1.0，通过单位长度试样称重、截面显微观察和树脂富集/干斑情况进行修正。</w:t>
      </w:r>
    </w:p>
    <w:p w:rsidR="008627A3" w:rsidRDefault="00000000">
      <w:r>
        <w:rPr>
          <w:rFonts w:ascii="宋体" w:eastAsia="宋体" w:hAnsi="宋体"/>
        </w:rPr>
        <w:t>先将目标纤维体积分数设置在20%～30%，采用20%、25%和30%三个水平开展单道或薄板试验。若在浸润均匀性、孔隙和打印稳定性方面获得可靠结果，再逐步扩展至35%左右。纤维体积分数不能仅由泵流量计算结果认定，应通过截面图像、质量—体积法或灼烧法等离线方法进行验证。</w:t>
      </w:r>
    </w:p>
    <w:p w:rsidR="008627A3" w:rsidRDefault="00000000">
      <w:pPr>
        <w:pStyle w:val="3"/>
        <w:rPr>
          <w:rFonts w:hint="eastAsia"/>
        </w:rPr>
      </w:pPr>
      <w:r>
        <w:t>3.2.4 多热源打印头与压实机构</w:t>
      </w:r>
    </w:p>
    <w:p w:rsidR="008627A3" w:rsidRDefault="00000000">
      <w:r>
        <w:rPr>
          <w:rFonts w:ascii="宋体" w:eastAsia="宋体" w:hAnsi="宋体"/>
        </w:rPr>
        <w:t>打印头由材料导入模块、预热模块、熔融/浸润模块、打印喷嘴、层间再加热模块、弹性压实轮、温度传感器和隔热连接件组成。三级热管理的功能分别为：预热区降低材料与熔体之间的温差并减少水分和热冲击；熔融/浸润区保证树脂处于可流动加工窗口；层间再加热区使已打印表面短时回到有利于界面熔合的温度范围。“预热减少热冲击、促进熔体浸润并改善界面温度条件”。</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1701"/>
        <w:gridCol w:w="2324"/>
        <w:gridCol w:w="3685"/>
      </w:tblGrid>
      <w:tr w:rsidR="008627A3">
        <w:trPr>
          <w:tblHeader/>
          <w:jc w:val="center"/>
        </w:trPr>
        <w:tc>
          <w:tcPr>
            <w:tcW w:w="1417"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b/>
                <w:szCs w:val="21"/>
              </w:rPr>
            </w:pPr>
            <w:r>
              <w:rPr>
                <w:rFonts w:ascii="宋体" w:eastAsia="宋体" w:hAnsi="宋体"/>
                <w:b/>
                <w:szCs w:val="21"/>
              </w:rPr>
              <w:t>功能区</w:t>
            </w:r>
          </w:p>
        </w:tc>
        <w:tc>
          <w:tcPr>
            <w:tcW w:w="1701"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b/>
                <w:szCs w:val="21"/>
              </w:rPr>
            </w:pPr>
            <w:r>
              <w:rPr>
                <w:rFonts w:ascii="宋体" w:eastAsia="宋体" w:hAnsi="宋体"/>
                <w:b/>
                <w:szCs w:val="21"/>
              </w:rPr>
              <w:t>控制对象</w:t>
            </w:r>
          </w:p>
        </w:tc>
        <w:tc>
          <w:tcPr>
            <w:tcW w:w="2324"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b/>
                <w:szCs w:val="21"/>
              </w:rPr>
            </w:pPr>
            <w:r>
              <w:rPr>
                <w:rFonts w:ascii="宋体" w:eastAsia="宋体" w:hAnsi="宋体"/>
                <w:b/>
                <w:szCs w:val="21"/>
              </w:rPr>
              <w:t>建议初始范围</w:t>
            </w:r>
          </w:p>
        </w:tc>
        <w:tc>
          <w:tcPr>
            <w:tcW w:w="3685"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b/>
                <w:szCs w:val="21"/>
              </w:rPr>
            </w:pPr>
            <w:r>
              <w:rPr>
                <w:rFonts w:ascii="宋体" w:eastAsia="宋体" w:hAnsi="宋体"/>
                <w:b/>
                <w:szCs w:val="21"/>
              </w:rPr>
              <w:t>参数选择方法</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预热区</w:t>
            </w:r>
          </w:p>
        </w:tc>
        <w:tc>
          <w:tcPr>
            <w:tcW w:w="1701"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纤维或预浸材料温度</w:t>
            </w:r>
          </w:p>
        </w:tc>
        <w:tc>
          <w:tcPr>
            <w:tcW w:w="2324"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低温验证材料可从60～100 ℃试验</w:t>
            </w:r>
          </w:p>
        </w:tc>
        <w:tc>
          <w:tcPr>
            <w:tcW w:w="3685"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依据材料吸湿性、玻璃化温度和树脂黏度变化确定；避免超过材料提前软化导致送料困难</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熔融/浸润区</w:t>
            </w:r>
          </w:p>
        </w:tc>
        <w:tc>
          <w:tcPr>
            <w:tcW w:w="1701"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喷嘴或树脂熔体温度</w:t>
            </w:r>
          </w:p>
        </w:tc>
        <w:tc>
          <w:tcPr>
            <w:tcW w:w="2324"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树脂推荐加工温度附近，通常从T_m+10～T_m+40 ℃试验</w:t>
            </w:r>
          </w:p>
        </w:tc>
        <w:tc>
          <w:tcPr>
            <w:tcW w:w="3685"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不得超过热分解温度的安全裕量；优先采用供应商窗口和DSC/TGA结果</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层间再加热区</w:t>
            </w:r>
          </w:p>
        </w:tc>
        <w:tc>
          <w:tcPr>
            <w:tcW w:w="1701"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已打印表面温度</w:t>
            </w:r>
          </w:p>
        </w:tc>
        <w:tc>
          <w:tcPr>
            <w:tcW w:w="2324"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使表面短时进入树脂焊接窗口</w:t>
            </w:r>
          </w:p>
        </w:tc>
        <w:tc>
          <w:tcPr>
            <w:tcW w:w="3685"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半结晶材料宜接近熔点附近，具体值通过表面温度与层间强度试验标定</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平台区</w:t>
            </w:r>
          </w:p>
        </w:tc>
        <w:tc>
          <w:tcPr>
            <w:tcW w:w="1701"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首层附着与整体热环境</w:t>
            </w:r>
          </w:p>
        </w:tc>
        <w:tc>
          <w:tcPr>
            <w:tcW w:w="2324"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低温材料可从40～80 ℃试验，高温材料另行设计保温腔</w:t>
            </w:r>
          </w:p>
        </w:tc>
        <w:tc>
          <w:tcPr>
            <w:tcW w:w="3685"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平台温度不应直接照搬喷嘴温度，应兼顾附着、翘曲与冷却</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压实区</w:t>
            </w:r>
          </w:p>
        </w:tc>
        <w:tc>
          <w:tcPr>
            <w:tcW w:w="1701"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压实力或弹簧压缩量</w:t>
            </w:r>
          </w:p>
        </w:tc>
        <w:tc>
          <w:tcPr>
            <w:tcW w:w="2324"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初始压实力10～30 N或压缩量1～3 mm</w:t>
            </w:r>
          </w:p>
        </w:tc>
        <w:tc>
          <w:tcPr>
            <w:tcW w:w="3685" w:type="dxa"/>
            <w:tcMar>
              <w:top w:w="80" w:type="dxa"/>
              <w:left w:w="80" w:type="dxa"/>
              <w:bottom w:w="80" w:type="dxa"/>
              <w:right w:w="80" w:type="dxa"/>
            </w:tcMar>
            <w:vAlign w:val="center"/>
          </w:tcPr>
          <w:p w:rsidR="008627A3" w:rsidRDefault="00000000">
            <w:pPr>
              <w:spacing w:after="0" w:line="276" w:lineRule="auto"/>
              <w:ind w:firstLine="0"/>
              <w:rPr>
                <w:b/>
                <w:szCs w:val="21"/>
              </w:rPr>
            </w:pPr>
            <w:r>
              <w:rPr>
                <w:rFonts w:ascii="宋体" w:eastAsia="宋体" w:hAnsi="宋体"/>
                <w:b/>
                <w:szCs w:val="21"/>
              </w:rPr>
              <w:t>根据喷嘴宽度、轨迹高度和表面损伤情况逐步标定，避免过压导致树脂挤出和纤维偏移</w:t>
            </w:r>
          </w:p>
        </w:tc>
      </w:tr>
    </w:tbl>
    <w:p w:rsidR="008627A3" w:rsidRDefault="008627A3">
      <w:pPr>
        <w:rPr>
          <w:b/>
          <w:szCs w:val="21"/>
        </w:rPr>
      </w:pPr>
    </w:p>
    <w:p w:rsidR="008627A3" w:rsidRDefault="00000000">
      <w:r>
        <w:rPr>
          <w:rFonts w:ascii="宋体" w:eastAsia="宋体" w:hAnsi="宋体"/>
        </w:rPr>
        <w:t>温度传感器应尽量靠近实际热源和材料通道布置。喷嘴加热块至少配置一个热电偶，层间再加热宜配置非接触红外测温点；如果使用红外热像仪，需要进行发射率、视场和安装角度校准。打印头与机械臂法兰之间应设置隔热板、低导热连接件和必要的主动风冷，避免热量传入机器人腕部。</w:t>
      </w:r>
    </w:p>
    <w:p w:rsidR="008627A3" w:rsidRDefault="00000000">
      <w:r>
        <w:rPr>
          <w:rFonts w:ascii="宋体" w:eastAsia="宋体" w:hAnsi="宋体"/>
        </w:rPr>
        <w:t>优先采用弹簧浮动压实轮，而不是直接开展高带宽六维力控制。弹性结构可吸收约1～3 mm的小范围高度误差，单轴力传感器或位移传感器用于监测压实是否过大或失去接触。只有在基础路径和层高控制稳定后，再研究基于力反馈的机械臂高度微调。</w:t>
      </w:r>
    </w:p>
    <w:p w:rsidR="008627A3" w:rsidRDefault="00000000">
      <w:pPr>
        <w:pStyle w:val="3"/>
        <w:rPr>
          <w:rFonts w:hint="eastAsia"/>
        </w:rPr>
      </w:pPr>
      <w:r>
        <w:t>3.2.5 六轴机械臂运动系统</w:t>
      </w:r>
    </w:p>
    <w:p w:rsidR="008627A3" w:rsidRDefault="00000000">
      <w:r>
        <w:rPr>
          <w:rFonts w:ascii="宋体" w:eastAsia="宋体" w:hAnsi="宋体"/>
        </w:rPr>
        <w:t>运动系统由六轴工业机械臂、原厂控制器、末端快换法兰、成形平台、工具中心点标定装置、平台标定板和安全围栏组成。机械臂选型不以最高速度为核心，而应优先考虑末端负载、工作半径、位置重复性、低速轨迹平稳性、外部通信接口和离线编程能力。</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2835"/>
        <w:gridCol w:w="4592"/>
      </w:tblGrid>
      <w:tr w:rsidR="008627A3">
        <w:trPr>
          <w:tblHeader/>
          <w:jc w:val="center"/>
        </w:trPr>
        <w:tc>
          <w:tcPr>
            <w:tcW w:w="1701"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选型项目</w:t>
            </w:r>
          </w:p>
        </w:tc>
        <w:tc>
          <w:tcPr>
            <w:tcW w:w="2835"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建议要求</w:t>
            </w:r>
          </w:p>
        </w:tc>
        <w:tc>
          <w:tcPr>
            <w:tcW w:w="4592"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说明</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额定负载</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≥末端总质量的1.5倍，建议10～20 kg级</w:t>
            </w:r>
          </w:p>
        </w:tc>
        <w:tc>
          <w:tcPr>
            <w:tcW w:w="459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需计入打印头、加热器、压实轮、相机、隔热件、线缆和软管的质量及偏心力矩</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工作半径</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目标构件包络尺寸加安装余量，建议≥1.5 m</w:t>
            </w:r>
          </w:p>
        </w:tc>
        <w:tc>
          <w:tcPr>
            <w:tcW w:w="459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打印区域尽量位于机械臂中近端，避免完全伸展和腕部极限姿态</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位置重复性</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≤±0.05 mm</w:t>
            </w:r>
          </w:p>
        </w:tc>
        <w:tc>
          <w:tcPr>
            <w:tcW w:w="459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适合用于评价重复回到同一点的能力，但不能替代绝对路径精度</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通信与编程</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支持TCP/IP或现场总线，支持离线程序导入</w:t>
            </w:r>
          </w:p>
        </w:tc>
        <w:tc>
          <w:tcPr>
            <w:tcW w:w="459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便于接收路径、同步状态并向数字孪生系统输出关节角和末端位姿</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过程布线</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优先内部走线或外部拖链/悬挂</w:t>
            </w:r>
          </w:p>
        </w:tc>
        <w:tc>
          <w:tcPr>
            <w:tcW w:w="459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防止高温电缆、送料管与关节缠绕；路径仿真中需同时检查软管弯曲</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安全配置</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急停、安全区、碰撞检测、限速模式</w:t>
            </w:r>
          </w:p>
        </w:tc>
        <w:tc>
          <w:tcPr>
            <w:tcW w:w="459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打印调试阶段应采用低速和示教安全模式</w:t>
            </w:r>
          </w:p>
        </w:tc>
      </w:tr>
    </w:tbl>
    <w:p w:rsidR="008627A3" w:rsidRDefault="008627A3"/>
    <w:p w:rsidR="008627A3" w:rsidRDefault="00000000">
      <w:r>
        <w:rPr>
          <w:rFonts w:ascii="宋体" w:eastAsia="宋体" w:hAnsi="宋体"/>
        </w:rPr>
        <w:t>机械臂需要建立基坐标系、法兰坐标系、工具坐标系、平台坐标系和构件坐标系。工具中心点应以喷嘴出口中心为基准，并将压实轮相对喷嘴的位置偏置写入工具模型。机械臂绝对精度通常低于重复定位精度，因此必须通过平台标定和简单轨迹测量修正系统误差。比赛阶段可使用标定板、视觉标定或接触式三点标定，验证虚拟路径与实体路径的一致性。</w:t>
      </w:r>
    </w:p>
    <w:p w:rsidR="008627A3" w:rsidRDefault="00000000">
      <w:pPr>
        <w:pStyle w:val="3"/>
        <w:rPr>
          <w:rFonts w:hint="eastAsia"/>
        </w:rPr>
      </w:pPr>
      <w:r>
        <w:t>3.2.6 热管理系统</w:t>
      </w:r>
    </w:p>
    <w:p w:rsidR="008627A3" w:rsidRDefault="00000000">
      <w:r>
        <w:rPr>
          <w:rFonts w:ascii="宋体" w:eastAsia="宋体" w:hAnsi="宋体"/>
        </w:rPr>
        <w:t>热管理系统包括喷嘴温控、材料预热、层间再加热、成形平台温控、末端隔热和安全降温。比赛阶段不建议同时建设大型恒温腔体，可先采用局部加热和平台控温完成原理验证；高温PEEK/PEKK等工程材料所需的高温腔体、耐高温机械臂末端和烟气处理作为后续工程化方向。</w:t>
      </w:r>
    </w:p>
    <w:p w:rsidR="008627A3" w:rsidRDefault="00000000">
      <w:r>
        <w:rPr>
          <w:rFonts w:ascii="宋体" w:eastAsia="宋体" w:hAnsi="宋体"/>
        </w:rPr>
        <w:t>喷嘴和平台采用独立PID控制，层间表面温度以监测和规则调节为主。喷嘴温度偏差在±3 ℃以内时保持正常打印；若连续超过±5 ℃，系统降低机械臂速度或暂停送料；若超出安全温度边界，则执行停止送料、机械臂抬升和加热功率切断。机械臂停止后不得长时间保持材料在喷嘴内高温静置，应设置自动保温和安全降温状态。</w:t>
      </w:r>
    </w:p>
    <w:p w:rsidR="008627A3" w:rsidRDefault="00000000">
      <w:pPr>
        <w:pStyle w:val="3"/>
        <w:rPr>
          <w:rFonts w:hint="eastAsia"/>
        </w:rPr>
      </w:pPr>
      <w:r>
        <w:t>3.2.7 在线检测系统</w:t>
      </w:r>
    </w:p>
    <w:p w:rsidR="008627A3" w:rsidRDefault="00000000">
      <w:r>
        <w:rPr>
          <w:rFonts w:ascii="宋体" w:eastAsia="宋体" w:hAnsi="宋体"/>
        </w:rPr>
        <w:t>在线检测系统分为基础配置和增强配置。基础配置，包含机械臂状态接口、送料编码器、张力传感器、送料电机电流、喷嘴与平台热电偶、可见光工业相机和断丝开关；增强配置包括红外热像仪、激光位移传感器、单轴力传感器和环境温湿度传感器。基础配置已经能够识别大部分过程漂移和典型表面异常，增强配置应根据</w:t>
      </w:r>
      <w:r>
        <w:rPr>
          <w:rFonts w:ascii="宋体" w:eastAsia="宋体" w:hAnsi="宋体" w:hint="eastAsia"/>
        </w:rPr>
        <w:t>实际情况我们能否做得到</w:t>
      </w:r>
      <w:r>
        <w:rPr>
          <w:rFonts w:ascii="宋体" w:eastAsia="宋体" w:hAnsi="宋体"/>
        </w:rPr>
        <w:t>逐项增加，不宜在方案中将所有高价传感器都列为必须完成。</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4"/>
        <w:gridCol w:w="1757"/>
        <w:gridCol w:w="1417"/>
        <w:gridCol w:w="3118"/>
        <w:gridCol w:w="1020"/>
      </w:tblGrid>
      <w:tr w:rsidR="008627A3">
        <w:trPr>
          <w:tblHeader/>
          <w:jc w:val="center"/>
        </w:trPr>
        <w:tc>
          <w:tcPr>
            <w:tcW w:w="1814"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检测参数</w:t>
            </w:r>
          </w:p>
        </w:tc>
        <w:tc>
          <w:tcPr>
            <w:tcW w:w="1757"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数据来源</w:t>
            </w:r>
          </w:p>
        </w:tc>
        <w:tc>
          <w:tcPr>
            <w:tcW w:w="1417"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建议采样频率</w:t>
            </w:r>
          </w:p>
        </w:tc>
        <w:tc>
          <w:tcPr>
            <w:tcW w:w="3118"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主要用途</w:t>
            </w:r>
          </w:p>
        </w:tc>
        <w:tc>
          <w:tcPr>
            <w:tcW w:w="1020"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配置等级</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机械臂末端位置/姿态</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机器人控制器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20～100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异常位置映射、路径偏差分析、数字孪生同步</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末端实际速度</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机器人控制器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20～100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送料前馈计算、转角减速判断</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实际送料速度</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编码器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100 Hz以上</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送料误差、打滑和停料判断</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纤维张力</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张力传感器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100～500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松弛、卡丝和断丝风险</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送料电机电流</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驱动器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50～100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送料阻力、卡滞和过载</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喷嘴温度</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热电偶</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10～50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熔融状态、超温和温度漂移</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平台温度</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热电偶</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1～10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首层附着和热环境</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轨迹宽度/中心/连续性</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工业相机</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20～30 fps</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欠送料、偏移、堆料和中断</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断丝状态</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光电或机械开关</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事件触发</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严重故障停机</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必须</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层间表面温度</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红外测温或热像仪</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10～50 Hz</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层间热状态风险</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可选</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层高和翘曲</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激光位移传感器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100 Hz以上</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层高偏差和表面变形</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可选</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压实力或浮动位移</w:t>
            </w:r>
          </w:p>
        </w:tc>
        <w:tc>
          <w:tcPr>
            <w:tcW w:w="175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单轴力/位移传感器</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100 Hz以上</w:t>
            </w:r>
          </w:p>
        </w:tc>
        <w:tc>
          <w:tcPr>
            <w:tcW w:w="3118"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失压、过压和高度补偿</w:t>
            </w:r>
          </w:p>
        </w:tc>
        <w:tc>
          <w:tcPr>
            <w:tcW w:w="1020"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可选</w:t>
            </w:r>
          </w:p>
        </w:tc>
      </w:tr>
    </w:tbl>
    <w:p w:rsidR="008627A3" w:rsidRDefault="008627A3"/>
    <w:p w:rsidR="008627A3" w:rsidRDefault="00000000">
      <w:r>
        <w:rPr>
          <w:rFonts w:ascii="宋体" w:eastAsia="宋体" w:hAnsi="宋体"/>
        </w:rPr>
        <w:t>工业相机建议安装在喷嘴后方或侧后方，视场覆盖喷嘴后5～30 mm的已沉积轨迹。相机分辨率应保证成形区域的空间分辨率优于0.1 mm/像素，帧率不低于20 fps，并使用固定光源减少环境光变化。图像算法首先完成相机标定、透视校正、轨迹区域提取、边缘识别、中心线计算和理论路径投影，再计算轨迹宽度、中心偏差和连续性。</w:t>
      </w:r>
    </w:p>
    <w:p w:rsidR="008627A3" w:rsidRDefault="00000000">
      <w:r>
        <w:rPr>
          <w:rFonts w:ascii="宋体" w:eastAsia="宋体" w:hAnsi="宋体"/>
        </w:rPr>
        <w:t>在线检测不能直接把普通相机识别结果表述为内部孔隙率、层间剪切强度或疲劳寿命。对于内部质量，数字孪生系统只能根据温度、压实、轨迹形貌和后续无损检测结果给出风险等级；最终结论仍需由显微截面、超声、CT或力学试验验证。</w:t>
      </w:r>
    </w:p>
    <w:p w:rsidR="008627A3" w:rsidRDefault="00000000">
      <w:pPr>
        <w:pStyle w:val="3"/>
        <w:rPr>
          <w:rFonts w:hint="eastAsia"/>
        </w:rPr>
      </w:pPr>
      <w:r>
        <w:t>3.2.8 控制系统与异常分级反馈</w:t>
      </w:r>
    </w:p>
    <w:p w:rsidR="008627A3" w:rsidRDefault="00000000">
      <w:r>
        <w:rPr>
          <w:rFonts w:ascii="宋体" w:eastAsia="宋体" w:hAnsi="宋体"/>
        </w:rPr>
        <w:t>控制系统采用分层闭环。机械臂原厂控制器负责位置、姿态和轨迹插补；工艺控制器负责送料、张力、温度和安全联锁；工业PC负责路径生成、视觉分析、数字孪生和数据管理。视觉算法和数字孪生不得直接绕过安全逻辑向机器人关节发送无约束指令。</w:t>
      </w:r>
    </w:p>
    <w:p w:rsidR="008627A3" w:rsidRDefault="00000000">
      <w:r>
        <w:rPr>
          <w:rFonts w:ascii="宋体" w:eastAsia="宋体" w:hAnsi="宋体"/>
        </w:rPr>
        <w:t>基础控制采用“速度前馈＋局部PID＋规则协调器”。机械臂实际速度作为送料前馈，张力PID对送料速度进行小幅修正，喷嘴和平台采用独立温度PID；规则协调器根据温度、张力、轨迹宽度和异常持续时间决定是否记录、有限补偿、减速、暂停或停机。</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3402"/>
        <w:gridCol w:w="2835"/>
        <w:gridCol w:w="1417"/>
      </w:tblGrid>
      <w:tr w:rsidR="008627A3">
        <w:trPr>
          <w:tblHeader/>
          <w:jc w:val="center"/>
        </w:trPr>
        <w:tc>
          <w:tcPr>
            <w:tcW w:w="1417"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等级</w:t>
            </w:r>
          </w:p>
        </w:tc>
        <w:tc>
          <w:tcPr>
            <w:tcW w:w="3402"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示例判据</w:t>
            </w:r>
          </w:p>
        </w:tc>
        <w:tc>
          <w:tcPr>
            <w:tcW w:w="2835"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处理方式</w:t>
            </w:r>
          </w:p>
        </w:tc>
        <w:tc>
          <w:tcPr>
            <w:tcW w:w="1417"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控制边界</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0级：正常</w:t>
            </w:r>
          </w:p>
        </w:tc>
        <w:tc>
          <w:tcPr>
            <w:tcW w:w="340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所有参数在正常窗口，视觉无持续异常</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继续打印并记录数据</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不调整</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1级：轻微波动</w:t>
            </w:r>
          </w:p>
        </w:tc>
        <w:tc>
          <w:tcPr>
            <w:tcW w:w="340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单个参数短时偏离预警线，未持续超过3个采样窗口</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记录、观察，不改变路径</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0</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2级：可补偿异常</w:t>
            </w:r>
          </w:p>
        </w:tc>
        <w:tc>
          <w:tcPr>
            <w:tcW w:w="340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轨迹宽度偏差10%～20%、张力偏差15%～30%或温度偏差5～10 ℃</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送料、速度或加热功率在限定范围内小幅修正</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单次建议不超过±10%</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3级：需要暂停</w:t>
            </w:r>
          </w:p>
        </w:tc>
        <w:tc>
          <w:tcPr>
            <w:tcW w:w="340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异常持续1～2 s仍未恢复，轨迹中心偏差明显或多传感器同时报警</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减速、暂停、保存坐标并等待确认</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不自动回头重打</w:t>
            </w:r>
          </w:p>
        </w:tc>
      </w:tr>
      <w:tr w:rsidR="008627A3">
        <w:trPr>
          <w:jc w:val="center"/>
        </w:trPr>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4级：严重故障</w:t>
            </w:r>
          </w:p>
        </w:tc>
        <w:tc>
          <w:tcPr>
            <w:tcW w:w="3402"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断丝、送料过载、碰撞、严重超温或通信中断</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停止送料、机械臂安全抬升、关闭/降低加热并报警</w:t>
            </w:r>
          </w:p>
        </w:tc>
        <w:tc>
          <w:tcPr>
            <w:tcW w:w="1417"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禁止自动恢复</w:t>
            </w:r>
          </w:p>
        </w:tc>
      </w:tr>
    </w:tbl>
    <w:p w:rsidR="008627A3" w:rsidRDefault="008627A3"/>
    <w:p w:rsidR="008627A3" w:rsidRDefault="00000000">
      <w:pPr>
        <w:pStyle w:val="a5"/>
        <w:shd w:val="clear" w:color="auto" w:fill="F2F2F2"/>
      </w:pPr>
      <w:r>
        <w:rPr>
          <w:rFonts w:ascii="黑体" w:eastAsia="黑体" w:hAnsi="黑体"/>
          <w:b/>
          <w:sz w:val="20"/>
        </w:rPr>
        <w:t>说明：</w:t>
      </w:r>
      <w:r>
        <w:rPr>
          <w:rFonts w:ascii="宋体" w:eastAsia="宋体" w:hAnsi="宋体"/>
          <w:sz w:val="20"/>
        </w:rPr>
        <w:t>表中的阈值用于建立初始规则库，应在正常打印试验后按统计分布修正。推荐先采集稳定打印数据，计算均值μ和标准差σ，以μ±3σ作为统计预警参考，再与设备安全上限共同确定最终阈值。对于轨迹宽度等图像指标，还应要求异常连续出现若干帧，避免单帧噪声触发停机。</w:t>
      </w:r>
    </w:p>
    <w:p w:rsidR="008627A3" w:rsidRDefault="00000000">
      <w:pPr>
        <w:pStyle w:val="3"/>
        <w:rPr>
          <w:rFonts w:hint="eastAsia"/>
        </w:rPr>
      </w:pPr>
      <w:r>
        <w:t>3.2.9 智能算法设计</w:t>
      </w:r>
    </w:p>
    <w:p w:rsidR="008627A3" w:rsidRDefault="00000000">
      <w:r>
        <w:rPr>
          <w:rFonts w:ascii="宋体" w:eastAsia="宋体" w:hAnsi="宋体"/>
        </w:rPr>
        <w:t>智能算法包括机械臂路径规划、工艺参数窗口分析、传统图像测量、小样本异常检测和数字孪生状态估计。比赛阶段不建议以“历史大数据库自动寻找全局最优工艺参数”为核心，更现实的路线是利用文献和材料数据给出初始范围，通过单因素和小规模正交试验建立经验窗口，再使用响应面或简单回归模型分析参数影响。</w:t>
      </w:r>
    </w:p>
    <w:p w:rsidR="008627A3" w:rsidRDefault="00000000">
      <w:r>
        <w:rPr>
          <w:rFonts w:ascii="宋体" w:eastAsia="宋体" w:hAnsi="宋体"/>
        </w:rPr>
        <w:t>缺陷检测采用“传统方法优先、机器学习辅助”。轨迹宽度、中心偏差和连续性使用可解释的图像几何算法；小样本模型只学习正常状态特征，用于输出异常分数和热力图，不要求在比赛阶段准确区分所有缺陷类型。对断丝、超温、过载等确定性故障，直接使用传感器和阈值判断，避免不必要的神经网络训练。</w:t>
      </w:r>
    </w:p>
    <w:p w:rsidR="008627A3" w:rsidRDefault="00000000">
      <w:pPr>
        <w:pStyle w:val="3"/>
        <w:rPr>
          <w:rFonts w:hint="eastAsia"/>
        </w:rPr>
      </w:pPr>
      <w:r>
        <w:t>3.2.10 数字孪生系统</w:t>
      </w:r>
    </w:p>
    <w:p w:rsidR="008627A3" w:rsidRDefault="00000000">
      <w:r>
        <w:rPr>
          <w:rFonts w:ascii="宋体" w:eastAsia="宋体" w:hAnsi="宋体"/>
        </w:rPr>
        <w:t>数字孪生系统由几何模型、运动学模型、工艺状态模型、简化物理模型、数据接口和可视化界面组成。几何模型包含机械臂、打印头、平台、构件和工装；运动学模型用于关节角—末端位姿映射、路径回放和碰撞检查；工艺状态模型记录当前层、当前路径段、速度、送料、张力、温度和异常等级；简化物理模型采用一阶温度响应、速度—送料比例关系和轨迹宽度经验模型，不建立实时全流固热耦合。</w:t>
      </w:r>
    </w:p>
    <w:p w:rsidR="008627A3" w:rsidRDefault="00000000">
      <w:r>
        <w:rPr>
          <w:rFonts w:ascii="宋体" w:eastAsia="宋体" w:hAnsi="宋体"/>
        </w:rPr>
        <w:t>数字孪生在打印前完成工作空间、可达性、奇异位形、碰撞、姿态连续性、软管干涉和打印时间检查；打印中以不低于20 Hz的频率同步关节角、末端位姿和关键工艺数据；打印后按构件坐标、层号、路径编号和时间戳回放过程，并将温度偏差、张力偏差、轨迹宽度偏差和异常记录映射到构件三维模型，形成数字质量风险地图。</w:t>
      </w:r>
    </w:p>
    <w:p w:rsidR="008627A3" w:rsidRDefault="00000000">
      <w:r>
        <w:rPr>
          <w:rFonts w:ascii="宋体" w:eastAsia="宋体" w:hAnsi="宋体"/>
        </w:rPr>
        <w:t>数字质量地图表示制造过程中的风险和异常历史，不等同于最终内部缺陷分布。若后续获得CT、超声或显微检测结果，可将离线检测位置映射回数字模型，逐步校准过程风险与真实质量之间的关系。</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4"/>
        <w:gridCol w:w="2891"/>
        <w:gridCol w:w="1701"/>
        <w:gridCol w:w="2835"/>
      </w:tblGrid>
      <w:tr w:rsidR="008627A3">
        <w:trPr>
          <w:tblHeader/>
          <w:jc w:val="center"/>
        </w:trPr>
        <w:tc>
          <w:tcPr>
            <w:tcW w:w="1814"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孪生模块</w:t>
            </w:r>
          </w:p>
        </w:tc>
        <w:tc>
          <w:tcPr>
            <w:tcW w:w="2891"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主要输入</w:t>
            </w:r>
          </w:p>
        </w:tc>
        <w:tc>
          <w:tcPr>
            <w:tcW w:w="1701"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建议更新频率</w:t>
            </w:r>
          </w:p>
        </w:tc>
        <w:tc>
          <w:tcPr>
            <w:tcW w:w="2835"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主要功能</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几何/运动孪生</w:t>
            </w:r>
          </w:p>
        </w:tc>
        <w:tc>
          <w:tcPr>
            <w:tcW w:w="289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关节角、末端位姿、工具与平台坐标</w:t>
            </w:r>
          </w:p>
        </w:tc>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≥20 Hz</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虚拟调试、实时动画、路径回放</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工艺状态孪生</w:t>
            </w:r>
          </w:p>
        </w:tc>
        <w:tc>
          <w:tcPr>
            <w:tcW w:w="289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速度、送料、张力、温度、层号、路径段</w:t>
            </w:r>
          </w:p>
        </w:tc>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10～100 Hz</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趋势显示、报警和任务追溯</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视觉质量孪生</w:t>
            </w:r>
          </w:p>
        </w:tc>
        <w:tc>
          <w:tcPr>
            <w:tcW w:w="289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轨迹宽度、中心偏差、连续性、异常分数</w:t>
            </w:r>
          </w:p>
        </w:tc>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20～30 fps</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异常位置标记和风险地图</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简化热模型</w:t>
            </w:r>
          </w:p>
        </w:tc>
        <w:tc>
          <w:tcPr>
            <w:tcW w:w="289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加热功率、喷嘴温度、表面温度、速度</w:t>
            </w:r>
          </w:p>
        </w:tc>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1～10 Hz模型更新</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预测温度变化趋势，不声称精确温度场</w:t>
            </w:r>
          </w:p>
        </w:tc>
      </w:tr>
      <w:tr w:rsidR="008627A3">
        <w:trPr>
          <w:jc w:val="center"/>
        </w:trPr>
        <w:tc>
          <w:tcPr>
            <w:tcW w:w="1814"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历史数据库</w:t>
            </w:r>
          </w:p>
        </w:tc>
        <w:tc>
          <w:tcPr>
            <w:tcW w:w="289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材料、参数、路径、传感数据、报警和检测结果</w:t>
            </w:r>
          </w:p>
        </w:tc>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任务结束归档</w:t>
            </w:r>
          </w:p>
        </w:tc>
        <w:tc>
          <w:tcPr>
            <w:tcW w:w="2835"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回放、对比和后续模型更新</w:t>
            </w:r>
          </w:p>
        </w:tc>
      </w:tr>
    </w:tbl>
    <w:p w:rsidR="008627A3" w:rsidRDefault="008627A3"/>
    <w:p w:rsidR="008627A3" w:rsidRDefault="00000000">
      <w:pPr>
        <w:pStyle w:val="3"/>
        <w:rPr>
          <w:rFonts w:hint="eastAsia"/>
        </w:rPr>
      </w:pPr>
      <w:r>
        <w:t>3.2.11 数据库与质量追溯</w:t>
      </w:r>
    </w:p>
    <w:p w:rsidR="008627A3" w:rsidRDefault="00000000">
      <w:r>
        <w:rPr>
          <w:rFonts w:ascii="宋体" w:eastAsia="宋体" w:hAnsi="宋体"/>
        </w:rPr>
        <w:t>数据库按照“任务—材料—路径—工艺—传感—异常—检测”组织。每次打印任务保存构件编号、材料类型和批次、机器人程序版本、工具与平台标定结果、路径文件、目标工艺参数、实际过程数据、图像或图像特征、报警记录、控制动作和打印后检测结果。高频原始图像可采用分段文件保存，数据库仅保存时间索引和特征，以降低存储压力。</w:t>
      </w:r>
    </w:p>
    <w:p w:rsidR="008627A3" w:rsidRDefault="00000000">
      <w:r>
        <w:rPr>
          <w:rFonts w:ascii="宋体" w:eastAsia="宋体" w:hAnsi="宋体"/>
        </w:rPr>
        <w:t>比赛阶段数据库的目标是实现可追溯和可回放，而不是建立覆盖全部缺陷的工业级大数据集。随着设备运行次数增加，可将经人工确认和离线检测验证的数据加入知识库，形成后续小样本模型微调和工艺规则更新的基础。</w:t>
      </w:r>
    </w:p>
    <w:p w:rsidR="008627A3" w:rsidRDefault="00000000">
      <w:pPr>
        <w:pStyle w:val="3"/>
        <w:rPr>
          <w:rFonts w:hint="eastAsia"/>
        </w:rPr>
      </w:pPr>
      <w:r>
        <w:t>3.2.12 安全与可维护性设计</w:t>
      </w:r>
    </w:p>
    <w:p w:rsidR="008627A3" w:rsidRDefault="00000000">
      <w:r>
        <w:rPr>
          <w:rFonts w:ascii="宋体" w:eastAsia="宋体" w:hAnsi="宋体"/>
        </w:rPr>
        <w:t>系统设置机械急停、机器人安全区、软件限位、碰撞报警、超温保护、送料过载、断丝报警、通信看门狗和打印头安全抬升动作。喷嘴、浸润腔和压实轮应采用可拆卸结构，便于清理堵料和更换；高温部件设置防护罩和隔热标识；对于树脂烟气和高温材料，应根据具体材料配置局部排风。</w:t>
      </w:r>
    </w:p>
    <w:p w:rsidR="008627A3" w:rsidRDefault="00000000">
      <w:pPr>
        <w:pStyle w:val="2"/>
        <w:rPr>
          <w:rFonts w:hint="eastAsia"/>
        </w:rPr>
      </w:pPr>
      <w:r>
        <w:t>3.3 技术路线</w:t>
      </w:r>
    </w:p>
    <w:p w:rsidR="008627A3" w:rsidRDefault="00000000">
      <w:r>
        <w:rPr>
          <w:rFonts w:ascii="宋体" w:eastAsia="宋体" w:hAnsi="宋体"/>
        </w:rPr>
        <w:t>本项目在原技术路线基础上，将“五轴连续纤维智能增材制造”修改为“六轴机械臂连续纤维增材制造”，并将“工艺参数智能优化”调整为更适合学生团队的“工艺窗口确定与有限参数优化”。完整路线为：航空复杂构件需求分析→拓扑优化与蜂窝仿生协同设计→有限元分析与连续纤维铺层设计→机械臂路径与姿态规划→工艺参数初选和虚拟调试→送料/浸润/温控子系统台架验证→机械臂协同打印→多源在线检测→异常分级反馈→数字孪生与质量追溯→性能测试与工艺迭代。</w:t>
      </w:r>
    </w:p>
    <w:p w:rsidR="008627A3" w:rsidRDefault="00000000">
      <w:pPr>
        <w:pStyle w:val="3"/>
        <w:rPr>
          <w:rFonts w:hint="eastAsia"/>
        </w:rPr>
      </w:pPr>
      <w:r>
        <w:t>（1）航空复杂构件需求分析</w:t>
      </w:r>
    </w:p>
    <w:p w:rsidR="008627A3" w:rsidRDefault="00000000">
      <w:r>
        <w:rPr>
          <w:rFonts w:ascii="宋体" w:eastAsia="宋体" w:hAnsi="宋体"/>
        </w:rPr>
        <w:t>选择一个尺寸适中、载荷路径清晰、便于机械臂接近和测试的小型航空安装支架或无人机承力支架作为典型对象。分析其服役温度、静载与振动载荷、安装约束、允许变形、质量指标、外形尺寸和可打印方向，明确比赛阶段的主要评价指标为几何可制造性、轻量化效果、纤维路径合理性、过程稳定性和基本力学性能。疲劳寿命和航空适航认证作为后续工作，不应在比赛阶段直接给出未经验证的定量承诺。</w:t>
      </w:r>
    </w:p>
    <w:p w:rsidR="008627A3" w:rsidRDefault="00000000">
      <w:pPr>
        <w:pStyle w:val="3"/>
        <w:rPr>
          <w:rFonts w:hint="eastAsia"/>
        </w:rPr>
      </w:pPr>
      <w:r>
        <w:t>（2）拓扑优化与蜂窝仿生协同设计</w:t>
      </w:r>
    </w:p>
    <w:p w:rsidR="008627A3" w:rsidRDefault="00000000">
      <w:r>
        <w:rPr>
          <w:rFonts w:ascii="宋体" w:eastAsia="宋体" w:hAnsi="宋体"/>
        </w:rPr>
        <w:t>采用“拓扑优化确定宏观承载路径，蜂窝结构用于低应力或面外支撑区域”的协同方法。首先在给定载荷、约束和体积分数条件下开展拓扑优化，识别主要承载骨架和可去除区域；随后在低至中等应力区域布置规则或梯度蜂窝单元，避免在螺栓孔、载荷输入点和高应力连接处使用大尺寸蜂窝空腔。</w:t>
      </w:r>
    </w:p>
    <w:p w:rsidR="008627A3" w:rsidRDefault="00000000">
      <w:r>
        <w:rPr>
          <w:rFonts w:ascii="宋体" w:eastAsia="宋体" w:hAnsi="宋体"/>
        </w:rPr>
        <w:t>蜂窝单元尺寸应同时满足结构和打印约束。比赛阶段可从单元边长6～12 mm、壁厚0.8～1.5 mm开始设计，并保证单元最小圆角和转弯半径不小于连续纤维可铺放极限。当轨迹宽度约为1 mm时，蜂窝壁厚至少包含1～2条稳定轨迹；单元边长宜不小于轨迹宽度的6～10倍，避免机械臂频繁急转。不同区域的蜂窝尺寸和壁厚可按应力等级分为2～3档，不宜在比赛阶段开展过于复杂的连续梯度优化。</w:t>
      </w:r>
    </w:p>
    <w:p w:rsidR="008627A3" w:rsidRDefault="00000000">
      <w:pPr>
        <w:pStyle w:val="3"/>
        <w:rPr>
          <w:rFonts w:hint="eastAsia"/>
        </w:rPr>
      </w:pPr>
      <w:r>
        <w:t>（3）有限元分析与连续纤维铺层设计</w:t>
      </w:r>
    </w:p>
    <w:p w:rsidR="008627A3" w:rsidRDefault="00000000">
      <w:r>
        <w:rPr>
          <w:rFonts w:ascii="宋体" w:eastAsia="宋体" w:hAnsi="宋体"/>
        </w:rPr>
        <w:t>对轻量化结构进行静力学分析，必要时增加一阶模态分析，获得位移、等效应力、主应力方向和应力集中区域。连续纤维铺层以主要拉伸方向和载荷传递路径为依据，在孔周、连接臂和高应力区域布置连续轮廓增强或主应力方向增强路径；在难以连续铺放或存在路径交叉的区域，采用分层错开、局部短路径或基体材料填充。</w:t>
      </w:r>
    </w:p>
    <w:p w:rsidR="008627A3" w:rsidRDefault="00000000">
      <w:r>
        <w:rPr>
          <w:rFonts w:ascii="宋体" w:eastAsia="宋体" w:hAnsi="宋体"/>
        </w:rPr>
        <w:t>铺层设计应兼顾力学最优与可制造性。即使主应力方向发生快速转变，也不能生成小于最小转弯半径、频繁交叉或机械臂姿态突变的路径。因此，有限元主应力方向应经过平滑、分区和路径连续化处理，再转换为实际打印路径。</w:t>
      </w:r>
    </w:p>
    <w:p w:rsidR="008627A3" w:rsidRDefault="00000000">
      <w:pPr>
        <w:pStyle w:val="3"/>
        <w:rPr>
          <w:rFonts w:hint="eastAsia"/>
        </w:rPr>
      </w:pPr>
      <w:r>
        <w:t>（4）机械臂路径规划与离线仿真</w:t>
      </w:r>
    </w:p>
    <w:p w:rsidR="008627A3" w:rsidRDefault="00000000">
      <w:r>
        <w:rPr>
          <w:rFonts w:ascii="宋体" w:eastAsia="宋体" w:hAnsi="宋体"/>
        </w:rPr>
        <w:t>路径规划包括构件切片、轮廓提取、填充路径生成、最小转弯半径约束、喷嘴姿态计算、逆运动学求解、关节连续性检查和碰撞检查。比赛阶段优先实现平面和缓曲面路径，采用轮廓平行与往复式填充相结合的方式；复杂非平面路径作为扩展功能。</w:t>
      </w:r>
    </w:p>
    <w:p w:rsidR="008627A3" w:rsidRDefault="00000000">
      <w:r>
        <w:rPr>
          <w:rFonts w:ascii="宋体" w:eastAsia="宋体" w:hAnsi="宋体"/>
        </w:rPr>
        <w:t>连续纤维最小转弯半径应通过单道试验确定。初始可设置为8～15 mm，并根据纤维束宽度、材料刚度和喷嘴结构逐步减小。转角处采用圆弧或样条过渡，并根据曲率降低机械臂速度和送料速度。工具姿态以喷嘴轴线接近构件表面法向为原则，但应限制相邻路径点姿态变化，避免机器人腕部翻转和奇异位形。</w:t>
      </w:r>
    </w:p>
    <w:p w:rsidR="008627A3" w:rsidRDefault="00000000">
      <w:pPr>
        <w:pStyle w:val="3"/>
        <w:rPr>
          <w:rFonts w:hint="eastAsia"/>
        </w:rPr>
      </w:pPr>
      <w:r>
        <w:t>（5）工艺参数初选与试验设计</w:t>
      </w:r>
    </w:p>
    <w:p w:rsidR="008627A3" w:rsidRDefault="00000000">
      <w:r>
        <w:rPr>
          <w:rFonts w:ascii="宋体" w:eastAsia="宋体" w:hAnsi="宋体"/>
        </w:rPr>
        <w:t>工艺参数先由材料和设备边界确定，再通过小尺寸试验优化。喷嘴温度以树脂推荐加工温度为中心设置±10～20 ℃的试验水平；打印速度初始设置3、5、8或10 mm/s；纤维张力设置3、5、7 N；层厚设置0.3、0.4、0.5 mm；压实力初始设置10、20、30 N或对应的弹簧压缩量。具体水平须根据喷嘴尺寸和材料系统调整。</w:t>
      </w:r>
    </w:p>
    <w:p w:rsidR="008627A3" w:rsidRDefault="00000000">
      <w:r>
        <w:rPr>
          <w:rFonts w:ascii="宋体" w:eastAsia="宋体" w:hAnsi="宋体"/>
        </w:rPr>
        <w:t>为控制试验成本，第一轮不应同时考察全部因素。建议先固定层厚、平台温度和轨迹宽度，采用4因素3水平的缩减正交试验，研究喷嘴温度、打印速度、张力和压实力对轨迹宽度、表面缺陷和简单力学性能的影响。树脂流量在原位浸润台架上单独标定，待稳定后再与机械臂打印联调。</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2381"/>
        <w:gridCol w:w="5046"/>
      </w:tblGrid>
      <w:tr w:rsidR="008627A3">
        <w:trPr>
          <w:tblHeader/>
          <w:jc w:val="center"/>
        </w:trPr>
        <w:tc>
          <w:tcPr>
            <w:tcW w:w="1701"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参数</w:t>
            </w:r>
          </w:p>
        </w:tc>
        <w:tc>
          <w:tcPr>
            <w:tcW w:w="2381"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建议初始范围</w:t>
            </w:r>
          </w:p>
        </w:tc>
        <w:tc>
          <w:tcPr>
            <w:tcW w:w="5046" w:type="dxa"/>
            <w:shd w:val="clear" w:color="auto" w:fill="D9EAF7"/>
            <w:tcMar>
              <w:top w:w="80" w:type="dxa"/>
              <w:left w:w="80" w:type="dxa"/>
              <w:bottom w:w="80" w:type="dxa"/>
              <w:right w:w="80" w:type="dxa"/>
            </w:tcMar>
            <w:vAlign w:val="center"/>
          </w:tcPr>
          <w:p w:rsidR="008627A3" w:rsidRDefault="00000000">
            <w:pPr>
              <w:spacing w:after="0" w:line="276" w:lineRule="auto"/>
              <w:ind w:firstLine="0"/>
              <w:jc w:val="center"/>
              <w:rPr>
                <w:szCs w:val="21"/>
              </w:rPr>
            </w:pPr>
            <w:r>
              <w:rPr>
                <w:rFonts w:ascii="宋体" w:eastAsia="宋体" w:hAnsi="宋体"/>
                <w:b/>
                <w:szCs w:val="21"/>
              </w:rPr>
              <w:t>确定方法</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打印速度</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3～10 mm/s，初值5 mm/s</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单道连续性、转角堆料、浸润时间和机器人低速稳定性</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喷嘴温度</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材料加工窗口中心±10～20 ℃</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树脂熔点、黏度、表面质量和热分解安全裕量</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纤维张力</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3～8 N，初值5 N</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无松弛、无断丝、转角不偏移的稳定窗口</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层厚</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0.3～0.6 mm</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喷嘴出口、纤维束尺寸和压实后轨迹高度</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轨迹宽度</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0.8～1.5 mm</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喷嘴结构和纤维束展宽结果；通过图像测量标定</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最小转弯半径</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8～15 mm初始</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圆弧单道试验，观察起皱、偏移和轨迹内外侧差异</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压实力</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10～30 N或1～3 mm弹簧压缩量</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以无明显树脂挤出、纤维偏移和层高过度压缩为准</w:t>
            </w:r>
          </w:p>
        </w:tc>
      </w:tr>
      <w:tr w:rsidR="008627A3">
        <w:trPr>
          <w:jc w:val="center"/>
        </w:trPr>
        <w:tc>
          <w:tcPr>
            <w:tcW w:w="170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目标纤维体积分数</w:t>
            </w:r>
          </w:p>
        </w:tc>
        <w:tc>
          <w:tcPr>
            <w:tcW w:w="2381"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20%～30%首轮</w:t>
            </w:r>
          </w:p>
        </w:tc>
        <w:tc>
          <w:tcPr>
            <w:tcW w:w="5046" w:type="dxa"/>
            <w:tcMar>
              <w:top w:w="80" w:type="dxa"/>
              <w:left w:w="80" w:type="dxa"/>
              <w:bottom w:w="80" w:type="dxa"/>
              <w:right w:w="80" w:type="dxa"/>
            </w:tcMar>
            <w:vAlign w:val="center"/>
          </w:tcPr>
          <w:p w:rsidR="008627A3" w:rsidRDefault="00000000">
            <w:pPr>
              <w:spacing w:after="0" w:line="276" w:lineRule="auto"/>
              <w:ind w:firstLine="0"/>
              <w:rPr>
                <w:szCs w:val="21"/>
              </w:rPr>
            </w:pPr>
            <w:r>
              <w:rPr>
                <w:rFonts w:ascii="宋体" w:eastAsia="宋体" w:hAnsi="宋体"/>
                <w:szCs w:val="21"/>
              </w:rPr>
              <w:t>单位长度质量、显微截面和孔隙情况共同验证</w:t>
            </w:r>
          </w:p>
        </w:tc>
      </w:tr>
    </w:tbl>
    <w:p w:rsidR="008627A3" w:rsidRDefault="008627A3">
      <w:pPr>
        <w:rPr>
          <w:szCs w:val="21"/>
        </w:rPr>
      </w:pPr>
    </w:p>
    <w:p w:rsidR="008627A3" w:rsidRDefault="00000000">
      <w:pPr>
        <w:pStyle w:val="3"/>
        <w:rPr>
          <w:rFonts w:hint="eastAsia"/>
        </w:rPr>
      </w:pPr>
      <w:r>
        <w:t>（6）数字孪生虚拟调试</w:t>
      </w:r>
    </w:p>
    <w:p w:rsidR="008627A3" w:rsidRDefault="00000000">
      <w:r>
        <w:rPr>
          <w:rFonts w:ascii="宋体" w:eastAsia="宋体" w:hAnsi="宋体"/>
        </w:rPr>
        <w:t>将机械臂、打印头、平台、构件和工装模型导入数字孪生环境，建立与实体一致的坐标系和工具参数。在打印前执行可达性、关节限位、姿态连续性、碰撞、软管弯曲、路径时间和材料需求检查。离线仿真通过后，先执行机械臂空载低速运行，再逐步接入送料、加热和材料。</w:t>
      </w:r>
    </w:p>
    <w:p w:rsidR="008627A3" w:rsidRDefault="00000000">
      <w:pPr>
        <w:pStyle w:val="3"/>
        <w:rPr>
          <w:rFonts w:hint="eastAsia"/>
        </w:rPr>
      </w:pPr>
      <w:r>
        <w:t>（7）送料、浸润和温控子系统台架验证</w:t>
      </w:r>
    </w:p>
    <w:p w:rsidR="008627A3" w:rsidRDefault="00000000">
      <w:r>
        <w:rPr>
          <w:rFonts w:ascii="宋体" w:eastAsia="宋体" w:hAnsi="宋体"/>
        </w:rPr>
        <w:t>送料台架验证目标送料与实际送料、张力响应、启动/停止和断丝报警；温控台架验证升温时间、超调、稳态误差和安全降温；原位浸润台架验证树脂计量、纤维浸润均匀性、单位长度质量和喷嘴堵塞风险。各子系统达到基本稳定后再安装至机器人工作站，避免在整机上同时排查机械、温度、送料和软件问题。</w:t>
      </w:r>
    </w:p>
    <w:p w:rsidR="008627A3" w:rsidRDefault="00000000">
      <w:pPr>
        <w:pStyle w:val="3"/>
        <w:rPr>
          <w:rFonts w:hint="eastAsia"/>
        </w:rPr>
      </w:pPr>
      <w:r>
        <w:t>（8）机械臂连续纤维协同打印</w:t>
      </w:r>
    </w:p>
    <w:p w:rsidR="008627A3" w:rsidRDefault="00000000">
      <w:r>
        <w:rPr>
          <w:rFonts w:ascii="宋体" w:eastAsia="宋体" w:hAnsi="宋体"/>
        </w:rPr>
        <w:t>打印时，机械臂按照经过离线验证的路径运行，实际末端速度发送至工艺控制器，计算目标送料速度和树脂供给量。张力控制器对送料速度进行小幅闭环修正，喷嘴和平台温度独立闭环，弹性压实机构补偿小范围高度误差。初始验证顺序为直线、圆弧、直角、S形、单层平板和简单多层构件，不直接从复杂航空支架开始。</w:t>
      </w:r>
    </w:p>
    <w:p w:rsidR="008627A3" w:rsidRDefault="00000000">
      <w:pPr>
        <w:pStyle w:val="3"/>
        <w:rPr>
          <w:rFonts w:hint="eastAsia"/>
        </w:rPr>
      </w:pPr>
      <w:r>
        <w:t>（9）多源在线检测</w:t>
      </w:r>
    </w:p>
    <w:p w:rsidR="008627A3" w:rsidRDefault="00000000">
      <w:r>
        <w:rPr>
          <w:rFonts w:ascii="宋体" w:eastAsia="宋体" w:hAnsi="宋体"/>
        </w:rPr>
        <w:t>打印过程中同步采集机械臂位姿与速度、送料速度、电机电流、纤维张力、喷嘴温度、平台温度和相机图像。图像算法计算轨迹宽度、中心偏差和连续性；张力、电流和断丝开关用于判断松弛、卡滞和断丝；红外温度、激光层高和压实力在条件允许时作为增强信息。所有数据使用统一时间戳并绑定到层号、路径编号和构件坐标。</w:t>
      </w:r>
    </w:p>
    <w:p w:rsidR="008627A3" w:rsidRDefault="00000000">
      <w:pPr>
        <w:pStyle w:val="3"/>
        <w:rPr>
          <w:rFonts w:hint="eastAsia"/>
        </w:rPr>
      </w:pPr>
      <w:r>
        <w:t>（10）异常分级反馈控制</w:t>
      </w:r>
    </w:p>
    <w:p w:rsidR="008627A3" w:rsidRDefault="00000000">
      <w:r>
        <w:rPr>
          <w:rFonts w:ascii="宋体" w:eastAsia="宋体" w:hAnsi="宋体"/>
        </w:rPr>
        <w:t>在线检测发现轻微偏差时，不返回缺陷位置重新打印，而是在安全限幅内调整后续送料、机械臂速度或加热功率，阻止异常扩大；如果异常持续或属于断丝、堵料、碰撞和严重超温，则暂停或安全停机。单次送料和速度修正建议不超过±10%，在1～2 s内未恢复则升级处理。已形成的严重缺陷记录到数字质量地图，后续通过人工返修、离线检测或重新制造处理。</w:t>
      </w:r>
    </w:p>
    <w:p w:rsidR="008627A3" w:rsidRDefault="00000000">
      <w:pPr>
        <w:pStyle w:val="3"/>
        <w:rPr>
          <w:rFonts w:hint="eastAsia"/>
        </w:rPr>
      </w:pPr>
      <w:r>
        <w:t>（11）数字孪生与质量追溯</w:t>
      </w:r>
    </w:p>
    <w:p w:rsidR="008627A3" w:rsidRDefault="00000000">
      <w:r>
        <w:rPr>
          <w:rFonts w:ascii="宋体" w:eastAsia="宋体" w:hAnsi="宋体"/>
        </w:rPr>
        <w:t>数字孪生系统实时显示机械臂姿态、当前路径段、送料、张力、温度和异常等级，并将异常时间转换为构件空间位置。打印完成后生成过程回放和质量风险地图，记录每个风险区的参数偏差、持续时间和控制动作。后续的尺寸检测、显微观察和无损检测结果可继续写入同一构件数字档案，用于修正规则和经验模型。</w:t>
      </w:r>
    </w:p>
    <w:p w:rsidR="008627A3" w:rsidRDefault="00000000">
      <w:pPr>
        <w:pStyle w:val="3"/>
        <w:rPr>
          <w:rFonts w:hint="eastAsia"/>
        </w:rPr>
      </w:pPr>
      <w:r>
        <w:t>（12）性能测试与工艺迭代</w:t>
      </w:r>
    </w:p>
    <w:p w:rsidR="008627A3" w:rsidRDefault="00000000">
      <w:r>
        <w:rPr>
          <w:rFonts w:ascii="宋体" w:eastAsia="宋体" w:hAnsi="宋体"/>
        </w:rPr>
        <w:t>比赛阶段优先完成尺寸精度、质量、表面形貌、轨迹宽度、显微截面和弯曲/拉伸中的2～3项测试；超声或CT在具备条件时开展，疲劳试验作为扩展验证。通过对比无张力控制与有张力控制、固定送料与速度同步送料、无在线检测与分级处置等工况，评价系统设计的实际效果。测试结果反向更新工艺窗口和数字孪生风险阈值。</w:t>
      </w:r>
    </w:p>
    <w:p w:rsidR="008627A3" w:rsidRDefault="00000000">
      <w:pPr>
        <w:pStyle w:val="2"/>
        <w:rPr>
          <w:rFonts w:hint="eastAsia"/>
        </w:rPr>
      </w:pPr>
      <w:r>
        <w:t>3.4 系统工作流程</w:t>
      </w:r>
    </w:p>
    <w:p w:rsidR="008627A3" w:rsidRDefault="00000000">
      <w:pPr>
        <w:pStyle w:val="3"/>
        <w:rPr>
          <w:rFonts w:hint="eastAsia"/>
        </w:rPr>
      </w:pPr>
      <w:r>
        <w:t>3.4.1 打印任务准备</w:t>
      </w:r>
    </w:p>
    <w:p w:rsidR="008627A3" w:rsidRDefault="00000000">
      <w:r>
        <w:rPr>
          <w:rFonts w:ascii="宋体" w:eastAsia="宋体" w:hAnsi="宋体"/>
        </w:rPr>
        <w:t>导入航空复杂结构件CAD模型，输入载荷、约束、质量和尺寸要求，完成拓扑优化和蜂窝区域设计。有限元分析获得主应力方向后，生成连续纤维铺层与机械臂路径，设置初始材料和工艺参数。数字孪生系统加载机器人、打印头、平台、构件和工装模型，完成可达性、碰撞、姿态连续性和打印时间检查。</w:t>
      </w:r>
    </w:p>
    <w:p w:rsidR="008627A3" w:rsidRDefault="00000000">
      <w:pPr>
        <w:pStyle w:val="3"/>
        <w:rPr>
          <w:rFonts w:hint="eastAsia"/>
        </w:rPr>
      </w:pPr>
      <w:r>
        <w:t>3.4.2 设备标定与预运行</w:t>
      </w:r>
    </w:p>
    <w:p w:rsidR="008627A3" w:rsidRDefault="00000000">
      <w:r>
        <w:rPr>
          <w:rFonts w:ascii="宋体" w:eastAsia="宋体" w:hAnsi="宋体"/>
        </w:rPr>
        <w:t>启动机器人控制器、工艺控制器和工业PC，检查急停、传感器和通信状态。完成喷嘴工具中心点、平台坐标和相机坐标标定；对张力传感器、送料编码器和温度传感器进行零点和量程检查。喷嘴和平台升温至设定值后，执行短距离送丝和空载轨迹，确认送料管线无干涉、机器人无奇异姿态和碰撞风险。</w:t>
      </w:r>
    </w:p>
    <w:p w:rsidR="008627A3" w:rsidRDefault="00000000">
      <w:pPr>
        <w:pStyle w:val="3"/>
        <w:rPr>
          <w:rFonts w:hint="eastAsia"/>
        </w:rPr>
      </w:pPr>
      <w:r>
        <w:t>3.4.3 正常打印与虚实同步</w:t>
      </w:r>
    </w:p>
    <w:p w:rsidR="008627A3" w:rsidRDefault="00000000">
      <w:r>
        <w:rPr>
          <w:rFonts w:ascii="宋体" w:eastAsia="宋体" w:hAnsi="宋体"/>
        </w:rPr>
        <w:t>机械臂进入打印状态后，机器人控制器按规划路径运行，工艺控制器依据实际末端速度同步控制送料。张力和温度闭环保持在允许窗口，工业相机连续测量轨迹形貌。数字孪生系统以统一时间戳接收关节角、末端位姿、速度、送料、张力、温度和图像特征，显示当前层、路径段和工艺曲线。</w:t>
      </w:r>
    </w:p>
    <w:p w:rsidR="008627A3" w:rsidRDefault="00000000">
      <w:pPr>
        <w:pStyle w:val="3"/>
        <w:rPr>
          <w:rFonts w:hint="eastAsia"/>
        </w:rPr>
      </w:pPr>
      <w:r>
        <w:t>3.4.4 异常处理</w:t>
      </w:r>
    </w:p>
    <w:p w:rsidR="008627A3" w:rsidRDefault="00000000">
      <w:r>
        <w:rPr>
          <w:rFonts w:ascii="宋体" w:eastAsia="宋体" w:hAnsi="宋体"/>
        </w:rPr>
        <w:t>当参数出现短时波动时，系统记录但不动作；当轨迹宽度、张力或温度持续偏离时，控制器在预设限幅内调整送料、速度或加热功率；若1～2 s内未恢复，机器人暂停并保存异常位置；发生断丝、碰撞、过载或严重超温时，立即停止送料、执行机械臂安全抬升并报警。系统不自动返回缺陷位置重新打印，避免连续纤维断点、局部堆料和层间冷接造成新的缺陷。</w:t>
      </w:r>
    </w:p>
    <w:p w:rsidR="008627A3" w:rsidRDefault="00000000">
      <w:pPr>
        <w:pStyle w:val="3"/>
        <w:rPr>
          <w:rFonts w:hint="eastAsia"/>
        </w:rPr>
      </w:pPr>
      <w:r>
        <w:t>3.4.5 打印完成与质量追溯</w:t>
      </w:r>
    </w:p>
    <w:p w:rsidR="008627A3" w:rsidRDefault="00000000">
      <w:r>
        <w:rPr>
          <w:rFonts w:ascii="宋体" w:eastAsia="宋体" w:hAnsi="宋体"/>
        </w:rPr>
        <w:t>打印结束后，系统停止送料，机械臂移动至安全位置，喷嘴进入保温或降温状态。数据库归档构件、材料、路径、参数、传感数据、异常和控制动作，数字孪生系统生成过程回放和质量风险地图。随后开展尺寸、表面、显微和力学检测，并将检测结果关联到数字档案，形成“设计—路径—制造—监测—检测”的完整追溯链。</w:t>
      </w:r>
    </w:p>
    <w:p w:rsidR="008627A3" w:rsidRDefault="00000000">
      <w:pPr>
        <w:pStyle w:val="2"/>
        <w:rPr>
          <w:rFonts w:hint="eastAsia"/>
        </w:rPr>
      </w:pPr>
      <w:r>
        <w:t>3.5 蜂窝仿生轻量化设计补充说明</w:t>
      </w:r>
    </w:p>
    <w:p w:rsidR="008627A3" w:rsidRDefault="00000000">
      <w:r>
        <w:rPr>
          <w:rFonts w:ascii="宋体" w:eastAsia="宋体" w:hAnsi="宋体"/>
        </w:rPr>
        <w:t>蜂窝结构具有较高的比刚度和面外承载效率，适用于夹芯板、壁板或构件内部低应力填充。但蜂窝结构并非对所有航空支架都必然优于拓扑优化实体骨架，具体采用与否应由载荷形式、构件厚度、打印方向和连续纤维可铺放性共同决定。本项目将蜂窝设计作为轻量化手段之一，而不是预设所有构件都必须采用蜂窝。</w:t>
      </w:r>
    </w:p>
    <w:p w:rsidR="008627A3" w:rsidRDefault="00000000">
      <w:pPr>
        <w:pStyle w:val="a4"/>
        <w:jc w:val="center"/>
      </w:pPr>
      <w:r>
        <w:rPr>
          <w:noProof/>
        </w:rPr>
        <w:drawing>
          <wp:inline distT="0" distB="0" distL="114300" distR="114300">
            <wp:extent cx="3527425" cy="2898775"/>
            <wp:effectExtent l="0" t="0" r="825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28000" cy="2899248"/>
                    </a:xfrm>
                    <a:prstGeom prst="rect">
                      <a:avLst/>
                    </a:prstGeom>
                  </pic:spPr>
                </pic:pic>
              </a:graphicData>
            </a:graphic>
          </wp:inline>
        </w:drawing>
      </w:r>
    </w:p>
    <w:p w:rsidR="008627A3" w:rsidRDefault="00000000">
      <w:pPr>
        <w:pStyle w:val="a4"/>
        <w:jc w:val="center"/>
      </w:pPr>
      <w:r>
        <w:rPr>
          <w:rFonts w:ascii="宋体" w:eastAsia="宋体" w:hAnsi="宋体"/>
          <w:sz w:val="18"/>
        </w:rPr>
        <w:t>图3-1 蜂窝单元几何参数示意（原方案图）</w:t>
      </w:r>
    </w:p>
    <w:p w:rsidR="008627A3" w:rsidRDefault="00000000">
      <w:pPr>
        <w:pStyle w:val="a4"/>
        <w:jc w:val="center"/>
      </w:pPr>
      <w:r>
        <w:rPr>
          <w:noProof/>
        </w:rPr>
        <w:drawing>
          <wp:inline distT="0" distB="0" distL="114300" distR="114300">
            <wp:extent cx="3671570" cy="2456815"/>
            <wp:effectExtent l="0" t="0" r="127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71999" cy="2457161"/>
                    </a:xfrm>
                    <a:prstGeom prst="rect">
                      <a:avLst/>
                    </a:prstGeom>
                  </pic:spPr>
                </pic:pic>
              </a:graphicData>
            </a:graphic>
          </wp:inline>
        </w:drawing>
      </w:r>
    </w:p>
    <w:p w:rsidR="008627A3" w:rsidRDefault="00000000">
      <w:pPr>
        <w:pStyle w:val="a4"/>
        <w:jc w:val="center"/>
      </w:pPr>
      <w:r>
        <w:rPr>
          <w:rFonts w:ascii="宋体" w:eastAsia="宋体" w:hAnsi="宋体"/>
          <w:sz w:val="18"/>
        </w:rPr>
        <w:t>图3-2 传统蜂窝夹芯结构示意（原方案图）</w:t>
      </w:r>
    </w:p>
    <w:p w:rsidR="008627A3" w:rsidRDefault="00000000">
      <w:r>
        <w:rPr>
          <w:rFonts w:ascii="宋体" w:eastAsia="宋体" w:hAnsi="宋体"/>
        </w:rPr>
        <w:t>图3-1中的单元边长、单元高度和壁厚是设计的主要几何参数。对于机械臂连续纤维打印，除结构性能外，还需考虑喷嘴尺寸、轨迹宽度、最小转弯半径和纤维连续性。比赛阶段可采用规则蜂窝或两级梯度蜂窝，避免复杂随机蜂窝导致路径碎片化。图3-2所示为传统面板—胶膜—蜂窝芯夹层结构，其制造机理与本项目一体化打印并不完全相同，因此只能作为结构原理参考，不应直接声称机械臂打印构件已经具备传统航空蜂窝夹芯板的全部性能。</w:t>
      </w:r>
    </w:p>
    <w:p w:rsidR="008627A3" w:rsidRDefault="00000000">
      <w:r>
        <w:rPr>
          <w:rFonts w:ascii="宋体" w:eastAsia="宋体" w:hAnsi="宋体"/>
        </w:rPr>
        <w:t>蜂窝与连续纤维的协同设计可按照以下顺序实施：先通过拓扑优化保留主要承载骨架；再在非关键区域布置蜂窝；随后对高应力边界、孔周和连接臂生成连续纤维增强路径；最后根据最小转弯半径和机器人姿态对蜂窝边角进行圆滑处理。对比方案至少包括实体/常规填充、蜂窝填充和蜂窝＋连续纤维增强三种形式，比较质量、刚度、最大应力、打印时间和材料消耗。</w:t>
      </w:r>
    </w:p>
    <w:p w:rsidR="008627A3" w:rsidRDefault="00000000">
      <w:pPr>
        <w:pStyle w:val="2"/>
        <w:rPr>
          <w:rFonts w:hint="eastAsia"/>
        </w:rPr>
      </w:pPr>
      <w:r>
        <w:t>参考文献（本部分建议引用）</w:t>
      </w:r>
    </w:p>
    <w:p w:rsidR="008627A3" w:rsidRDefault="00000000">
      <w:pPr>
        <w:pStyle w:val="a4"/>
        <w:ind w:left="340" w:hanging="340"/>
      </w:pPr>
      <w:r>
        <w:rPr>
          <w:rFonts w:ascii="宋体" w:eastAsia="宋体" w:hAnsi="宋体"/>
          <w:sz w:val="18"/>
        </w:rPr>
        <w:t>[1] Tian X, et al. 3D Printing of Continuous Fiber Reinforced Polymer Composites: Development, Application, and Prospective. Chinese Journal of Mechanical Engineering: Additive Manufacturing Frontiers, 2022.</w:t>
      </w:r>
    </w:p>
    <w:p w:rsidR="008627A3" w:rsidRDefault="00000000">
      <w:pPr>
        <w:pStyle w:val="a4"/>
        <w:ind w:left="340" w:hanging="340"/>
      </w:pPr>
      <w:r>
        <w:rPr>
          <w:rFonts w:ascii="宋体" w:eastAsia="宋体" w:hAnsi="宋体"/>
          <w:sz w:val="18"/>
        </w:rPr>
        <w:t>[2] Lu L, et al. Deep learning-assisted real-time defect detection and closed-loop adjustment for additive manufacturing of continuous fiber-reinforced polymer composites. Robotics and Computer-Integrated Manufacturing, 2023, 79: 102431. DOI: 10.1016/j.rcim.2022.102431.</w:t>
      </w:r>
    </w:p>
    <w:p w:rsidR="008627A3" w:rsidRDefault="00000000">
      <w:pPr>
        <w:pStyle w:val="a4"/>
        <w:ind w:left="340" w:hanging="340"/>
      </w:pPr>
      <w:r>
        <w:rPr>
          <w:rFonts w:ascii="宋体" w:eastAsia="宋体" w:hAnsi="宋体"/>
          <w:sz w:val="18"/>
        </w:rPr>
        <w:t>[3] Lu L, et al. In-situ process evaluation for continuous fiber composite additive manufacturing using multisensing and correlation analysis. Additive Manufacturing, 2023, 76: 103721. DOI: 10.1016/j.addma.2023.103721.</w:t>
      </w:r>
    </w:p>
    <w:p w:rsidR="008627A3" w:rsidRDefault="00000000">
      <w:pPr>
        <w:pStyle w:val="a4"/>
        <w:ind w:left="340" w:hanging="340"/>
      </w:pPr>
      <w:r>
        <w:rPr>
          <w:rFonts w:ascii="宋体" w:eastAsia="宋体" w:hAnsi="宋体"/>
          <w:sz w:val="18"/>
        </w:rPr>
        <w:t>[4] Yang Y, Zhou Y, Duan M. Contact-force-based closed-loop control of shell structure additive manufacturing with continuous-fiber-reinforced polymer composites. Journal of Materials Processing Technology, 2024, 329: 118501. DOI: 10.1016/j.jmatprotec.2024.118501.</w:t>
      </w:r>
    </w:p>
    <w:p w:rsidR="008627A3" w:rsidRDefault="00000000">
      <w:pPr>
        <w:pStyle w:val="a4"/>
        <w:ind w:left="340" w:hanging="340"/>
      </w:pPr>
      <w:r>
        <w:rPr>
          <w:rFonts w:ascii="宋体" w:eastAsia="宋体" w:hAnsi="宋体"/>
          <w:sz w:val="18"/>
        </w:rPr>
        <w:t>[5] Chen S, et al. In-situ additive manufacturing deposition trajectory monitoring and compensation with thermal camera. Additive Manufacturing, 2023, 78: 103820. DOI: 10.1016/j.addma.2023.103820.</w:t>
      </w:r>
    </w:p>
    <w:p w:rsidR="008627A3" w:rsidRDefault="00000000">
      <w:pPr>
        <w:pStyle w:val="a4"/>
        <w:ind w:left="340" w:hanging="340"/>
      </w:pPr>
      <w:r>
        <w:rPr>
          <w:rFonts w:ascii="宋体" w:eastAsia="宋体" w:hAnsi="宋体"/>
          <w:sz w:val="18"/>
        </w:rPr>
        <w:t>[6] Zhang L, et al. Digital Twins for Additive Manufacturing: A State-of-the-Art Review. Applied Sciences, 2020, 10(23): 8350. DOI: 10.3390/app10238350.</w:t>
      </w:r>
    </w:p>
    <w:p w:rsidR="008627A3" w:rsidRDefault="00000000">
      <w:pPr>
        <w:pStyle w:val="a4"/>
        <w:ind w:left="340" w:hanging="340"/>
      </w:pPr>
      <w:r>
        <w:rPr>
          <w:rFonts w:ascii="宋体" w:eastAsia="宋体" w:hAnsi="宋体"/>
          <w:sz w:val="18"/>
        </w:rPr>
        <w:t>[7] Ben Amor S, et al. Digital Twin Implementation in Additive Manufacturing: A Comprehensive Review. Processes, 2024, 12(6): 1062. DOI: 10.3390/pr12061062.</w:t>
      </w:r>
    </w:p>
    <w:p w:rsidR="008627A3" w:rsidRDefault="00000000">
      <w:pPr>
        <w:pStyle w:val="a4"/>
        <w:ind w:left="340" w:hanging="340"/>
      </w:pPr>
      <w:r>
        <w:rPr>
          <w:rFonts w:ascii="宋体" w:eastAsia="宋体" w:hAnsi="宋体"/>
          <w:sz w:val="18"/>
        </w:rPr>
        <w:t>[8] ABB Robotics. Product specification—IRB 2600. 用于机械臂负载、工作半径和重复定位指标选型参考，实际方案可选用同等级其他品牌机器人。</w:t>
      </w:r>
    </w:p>
    <w:sectPr w:rsidR="008627A3">
      <w:footerReference w:type="default" r:id="rId8"/>
      <w:pgSz w:w="11906" w:h="16838"/>
      <w:pgMar w:top="1247" w:right="1417" w:bottom="124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10D3" w:rsidRDefault="00D310D3">
      <w:pPr>
        <w:spacing w:line="240" w:lineRule="auto"/>
      </w:pPr>
      <w:r>
        <w:separator/>
      </w:r>
    </w:p>
  </w:endnote>
  <w:endnote w:type="continuationSeparator" w:id="0">
    <w:p w:rsidR="00D310D3" w:rsidRDefault="00D31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27A3" w:rsidRDefault="00000000">
    <w:pPr>
      <w:jc w:val="center"/>
    </w:pPr>
    <w:r>
      <w:rPr>
        <w:rFonts w:ascii="宋体" w:eastAsia="宋体" w:hAnsi="宋体"/>
        <w:sz w:val="18"/>
      </w:rPr>
      <w:fldChar w:fldCharType="begin"/>
    </w:r>
    <w:r>
      <w:rPr>
        <w:rFonts w:ascii="宋体" w:eastAsia="宋体" w:hAnsi="宋体"/>
        <w:sz w:val="18"/>
      </w:rPr>
      <w:instrText xml:space="preserve"> PAGE </w:instrText>
    </w:r>
    <w:r w:rsidR="0081525E">
      <w:rPr>
        <w:rFonts w:ascii="宋体" w:eastAsia="宋体" w:hAnsi="宋体" w:hint="eastAsia"/>
        <w:sz w:val="18"/>
      </w:rPr>
      <w:fldChar w:fldCharType="separate"/>
    </w:r>
    <w:r w:rsidR="0081525E">
      <w:rPr>
        <w:rFonts w:ascii="宋体" w:eastAsia="宋体" w:hAnsi="宋体" w:hint="eastAsia"/>
        <w:noProof/>
        <w:sz w:val="18"/>
      </w:rPr>
      <w:t>1</w:t>
    </w:r>
    <w:r>
      <w:rPr>
        <w:rFonts w:ascii="宋体" w:eastAsia="宋体" w:hAnsi="宋体"/>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10D3" w:rsidRDefault="00D310D3">
      <w:pPr>
        <w:spacing w:after="0"/>
      </w:pPr>
      <w:r>
        <w:separator/>
      </w:r>
    </w:p>
  </w:footnote>
  <w:footnote w:type="continuationSeparator" w:id="0">
    <w:p w:rsidR="00D310D3" w:rsidRDefault="00D310D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205525C"/>
    <w:rsid w:val="0081525E"/>
    <w:rsid w:val="008627A3"/>
    <w:rsid w:val="00D310D3"/>
    <w:rsid w:val="00FD16E0"/>
    <w:rsid w:val="0C6E37BF"/>
    <w:rsid w:val="0F126346"/>
    <w:rsid w:val="14D22660"/>
    <w:rsid w:val="17AF3703"/>
    <w:rsid w:val="1AF14252"/>
    <w:rsid w:val="1C335B7D"/>
    <w:rsid w:val="2B421C1D"/>
    <w:rsid w:val="2EE3493B"/>
    <w:rsid w:val="3205525C"/>
    <w:rsid w:val="335A28C8"/>
    <w:rsid w:val="3ADE4A86"/>
    <w:rsid w:val="45FE77D7"/>
    <w:rsid w:val="46771EAF"/>
    <w:rsid w:val="48032A82"/>
    <w:rsid w:val="49D12AC4"/>
    <w:rsid w:val="51137674"/>
    <w:rsid w:val="547D78E9"/>
    <w:rsid w:val="56B91EC0"/>
    <w:rsid w:val="59BC79B5"/>
    <w:rsid w:val="5E46735B"/>
    <w:rsid w:val="5F6F66A8"/>
    <w:rsid w:val="68B426BB"/>
    <w:rsid w:val="68C815B7"/>
    <w:rsid w:val="72331F17"/>
    <w:rsid w:val="736E5255"/>
    <w:rsid w:val="78A62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BEDA703-1EDD-4DAB-8589-85ED4463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60" w:line="360" w:lineRule="auto"/>
      <w:ind w:firstLine="42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200" w:after="120" w:line="300" w:lineRule="auto"/>
      <w:outlineLvl w:val="0"/>
    </w:pPr>
    <w:rPr>
      <w:rFonts w:ascii="黑体" w:eastAsia="黑体" w:hAnsi="黑体"/>
      <w:b/>
      <w:kern w:val="44"/>
      <w:sz w:val="36"/>
    </w:rPr>
  </w:style>
  <w:style w:type="paragraph" w:styleId="2">
    <w:name w:val="heading 2"/>
    <w:basedOn w:val="a"/>
    <w:next w:val="a"/>
    <w:unhideWhenUsed/>
    <w:qFormat/>
    <w:pPr>
      <w:keepNext/>
      <w:keepLines/>
      <w:spacing w:before="200" w:after="120" w:line="300" w:lineRule="auto"/>
      <w:outlineLvl w:val="1"/>
    </w:pPr>
    <w:rPr>
      <w:rFonts w:ascii="黑体" w:eastAsia="黑体" w:hAnsi="黑体"/>
      <w:b/>
      <w:sz w:val="28"/>
    </w:rPr>
  </w:style>
  <w:style w:type="paragraph" w:styleId="3">
    <w:name w:val="heading 3"/>
    <w:basedOn w:val="a"/>
    <w:next w:val="a"/>
    <w:unhideWhenUsed/>
    <w:qFormat/>
    <w:pPr>
      <w:keepNext/>
      <w:keepLines/>
      <w:spacing w:before="200" w:after="120" w:line="300" w:lineRule="auto"/>
      <w:outlineLvl w:val="2"/>
    </w:pPr>
    <w:rPr>
      <w:rFonts w:ascii="黑体" w:eastAsia="黑体" w:hAnsi="黑体"/>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0" w:afterAutospacing="1"/>
      <w:jc w:val="left"/>
    </w:pPr>
    <w:rPr>
      <w:rFonts w:cs="Times New Roman"/>
      <w:kern w:val="0"/>
      <w:sz w:val="24"/>
    </w:rPr>
  </w:style>
  <w:style w:type="paragraph" w:customStyle="1" w:styleId="a4">
    <w:name w:val="正文无缩进"/>
    <w:basedOn w:val="a"/>
    <w:qFormat/>
    <w:pPr>
      <w:ind w:firstLine="0"/>
    </w:pPr>
  </w:style>
  <w:style w:type="paragraph" w:customStyle="1" w:styleId="a5">
    <w:name w:val="说明框"/>
    <w:basedOn w:val="a"/>
    <w:qFormat/>
    <w:pPr>
      <w:spacing w:before="80" w:after="80"/>
      <w:ind w:left="283" w:right="283"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2053</Words>
  <Characters>11703</Characters>
  <Application>Microsoft Office Word</Application>
  <DocSecurity>0</DocSecurity>
  <Lines>97</Lines>
  <Paragraphs>27</Paragraphs>
  <ScaleCrop>false</ScaleCrop>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总体方案设计与技术路线（修改完善版）</dc:title>
  <dc:subject>机械臂连续纤维复合材料增材制造、在线检测与数字孪生</dc:subject>
  <dc:creator>(இдஇ;)</dc:creator>
  <cp:lastModifiedBy>治元 卢</cp:lastModifiedBy>
  <cp:revision>2</cp:revision>
  <dcterms:created xsi:type="dcterms:W3CDTF">2026-07-22T03:18:00Z</dcterms:created>
  <dcterms:modified xsi:type="dcterms:W3CDTF">2026-07-22T03:18:00Z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39C484F02C4F4419953E119771E0E2B7_11</vt:lpwstr>
  </property>
  <property fmtid="{D5CDD505-2E9C-101B-9397-08002B2CF9AE}" pid="4" name="KSOTemplateDocerSaveRecord">
    <vt:lpwstr>eyJoZGlkIjoiYWE2OTNkMzI4NzdmZGE1MGUyZTgxZWNmYTI5NmE5ODUiLCJ1c2VySWQiOiIxNjEzMjc4NTYwIn0=</vt:lpwstr>
  </property>
</Properties>
</file>