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biz6t9dw4gq9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S07 - Ejemplo Práctica formativa 3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333333"/>
          <w:sz w:val="24"/>
          <w:szCs w:val="24"/>
        </w:rPr>
      </w:pPr>
      <w:bookmarkStart w:colFirst="0" w:colLast="0" w:name="_p7x702hgz8nn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Este es un ejemplo de consignas que podés encontrar en las Prácticas Formativas Obligatorias. Te aconsejamos que puedas ir practicando con ellas, y si te surgen dudas consultar en el foro de la semana.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 objetivo de esta práctica es afianzar conceptos teóricos usando razonamiento lógico.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3df5"/>
          <w:sz w:val="24"/>
          <w:szCs w:val="24"/>
        </w:rPr>
      </w:pPr>
      <w:bookmarkStart w:colFirst="0" w:colLast="0" w:name="_stj2tkk992xy" w:id="2"/>
      <w:bookmarkEnd w:id="2"/>
      <w:r w:rsidDel="00000000" w:rsidR="00000000" w:rsidRPr="00000000">
        <w:rPr>
          <w:b w:val="1"/>
          <w:color w:val="003df5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Resolvé las consignas señaladas en el bloque </w:t>
      </w:r>
      <w:r w:rsidDel="00000000" w:rsidR="00000000" w:rsidRPr="00000000">
        <w:rPr>
          <w:color w:val="003df5"/>
          <w:sz w:val="24"/>
          <w:szCs w:val="24"/>
          <w:rtl w:val="0"/>
        </w:rPr>
        <w:t xml:space="preserve">Tarea</w:t>
      </w:r>
      <w:r w:rsidDel="00000000" w:rsidR="00000000" w:rsidRPr="00000000">
        <w:rPr>
          <w:sz w:val="24"/>
          <w:szCs w:val="24"/>
          <w:rtl w:val="0"/>
        </w:rPr>
        <w:t xml:space="preserve"> según sea el caso.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3df5"/>
          <w:sz w:val="24"/>
          <w:szCs w:val="24"/>
        </w:rPr>
      </w:pPr>
      <w:bookmarkStart w:colFirst="0" w:colLast="0" w:name="_k9kxssv9beww" w:id="3"/>
      <w:bookmarkEnd w:id="3"/>
      <w:r w:rsidDel="00000000" w:rsidR="00000000" w:rsidRPr="00000000">
        <w:rPr>
          <w:b w:val="1"/>
          <w:color w:val="003df5"/>
          <w:sz w:val="24"/>
          <w:szCs w:val="24"/>
          <w:rtl w:val="0"/>
        </w:rPr>
        <w:t xml:space="preserve">Tarea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   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Si se debe considerar una condición que se encuentre entre dos dominios ¿Cómo armaría la consulta?, ¿Hay algún operador específico de MySQL para usar? Explicar.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2)      ¿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En qué casos usarías los operadores de agrupación?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3)      ¿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Cuándo es correcto utilizar el operador IN y cuando no? Explique el porque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7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4)      ¿Qué diferencia hay entre una PK y una FK?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5)      ¿Qué diferencia hay entre integridad de entidad e integridad referencial?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