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变量定义</w:t>
      </w:r>
    </w:p>
    <w:tbl>
      <w:tblPr>
        <w:tblStyle w:val="4"/>
        <w:tblpPr w:leftFromText="180" w:rightFromText="180" w:vertAnchor="text" w:horzAnchor="page" w:tblpX="2003" w:tblpY="110"/>
        <w:tblOverlap w:val="never"/>
        <w:tblW w:w="8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769"/>
        <w:gridCol w:w="1168"/>
        <w:gridCol w:w="4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45" w:type="dxa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变量类型</w:t>
            </w: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变量名称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符号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45" w:type="dxa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解释</w:t>
            </w:r>
          </w:p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变量</w:t>
            </w: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引导基金持股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GGF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公司当年被引导基金持股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则取值为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1，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否则为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45" w:type="dxa"/>
            <w:vMerge w:val="restart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控制</w:t>
            </w:r>
          </w:p>
          <w:p>
            <w:pPr>
              <w:widowControl w:val="0"/>
              <w:bidi w:val="0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变量</w:t>
            </w: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公司规模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Size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公司年末资产总额的自然对数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eastAsia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资产负债率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Lev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公司年末负债总额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/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公司年末资产总额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管理层持股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MH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公司高级管理人员持股比例之和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包括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总经理，总裁，CEO，副总经理，副总裁，董秘和年报上公布的其它管理人员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成立时长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Age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公司成立年份至观测值所在年份相隔的年数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地区人均GDP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GDP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公司所在地级市当年年初人均GDP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</w:trPr>
        <w:tc>
          <w:tcPr>
            <w:tcW w:w="1245" w:type="dxa"/>
            <w:vMerge w:val="restart"/>
            <w:noWrap w:val="0"/>
            <w:vAlign w:val="center"/>
          </w:tcPr>
          <w:p>
            <w:pPr>
              <w:widowControl w:val="0"/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机制检验变量</w:t>
            </w: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公司治理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CG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主成分分析得到公司治理得分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。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参考胡楠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（2021），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具体计算过程见注释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eastAsia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机构持股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SINS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监督型机构持股比例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监督型机构包括证券投资基金、社保基金和QFII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地区金融化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eastAsia" w:eastAsia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R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F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若公司所在地金融发展水平高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取值为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1，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否则为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0。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参考陈胜蓝和马慧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（2019），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具体衡量见注释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4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研发强度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R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D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公司年末研发费用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/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公司年末营业收入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4" w:hRule="atLeast"/>
        </w:trPr>
        <w:tc>
          <w:tcPr>
            <w:tcW w:w="1245" w:type="dxa"/>
            <w:vMerge w:val="continue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1769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公司战略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eastAsia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S</w:t>
            </w:r>
          </w:p>
        </w:tc>
        <w:tc>
          <w:tcPr>
            <w:tcW w:w="4032" w:type="dxa"/>
            <w:noWrap w:val="0"/>
            <w:vAlign w:val="center"/>
          </w:tcPr>
          <w:p>
            <w:pPr>
              <w:widowControl w:val="0"/>
              <w:bidi w:val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多维度打分得到公司战略得分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。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参考刘行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（2016），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具体衡量见注释</w:t>
            </w:r>
          </w:p>
        </w:tc>
      </w:tr>
    </w:tbl>
    <w:p>
      <w:pPr>
        <w:bidi w:val="0"/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Hans"/>
        </w:rPr>
      </w:pPr>
    </w:p>
    <w:p>
      <w:pPr>
        <w:bidi w:val="0"/>
        <w:jc w:val="left"/>
        <w:rPr>
          <w:rFonts w:hint="eastAsia" w:ascii="Times New Roman" w:hAnsi="Times New Roman" w:eastAsia="宋体" w:cs="Times New Roman"/>
          <w:b/>
          <w:bCs/>
          <w:sz w:val="24"/>
          <w:szCs w:val="22"/>
          <w:vertAlign w:val="baseline"/>
          <w:lang w:val="en-US" w:eastAsia="zh-Hans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Hans"/>
        </w:rPr>
        <w:t>地区金融化程度</w:t>
      </w:r>
    </w:p>
    <w:p>
      <w:pPr>
        <w:bidi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</w:pPr>
      <w:r>
        <w:rPr>
          <w:rFonts w:hint="eastAsia"/>
          <w:sz w:val="24"/>
          <w:szCs w:val="22"/>
          <w:vertAlign w:val="baseline"/>
          <w:lang w:val="en-US" w:eastAsia="zh-Hans"/>
        </w:rPr>
        <w:t>参考陈胜蓝和马慧</w:t>
      </w:r>
      <w:r>
        <w:rPr>
          <w:rFonts w:hint="default"/>
          <w:sz w:val="24"/>
          <w:szCs w:val="22"/>
          <w:vertAlign w:val="baseline"/>
          <w:lang w:eastAsia="zh-Hans"/>
        </w:rPr>
        <w:t>（2019），上海、北京、深圳、广州、杭州、南京、天津、成都、重庆、宁波，</w:t>
      </w:r>
      <w:r>
        <w:rPr>
          <w:rFonts w:hint="eastAsia"/>
          <w:sz w:val="24"/>
          <w:szCs w:val="22"/>
          <w:vertAlign w:val="baseline"/>
          <w:lang w:val="en-US" w:eastAsia="zh-Hans"/>
        </w:rPr>
        <w:t>这十个城市地区金融化程度较高</w:t>
      </w:r>
      <w:r>
        <w:rPr>
          <w:rFonts w:hint="default"/>
          <w:sz w:val="24"/>
          <w:szCs w:val="22"/>
          <w:vertAlign w:val="baseline"/>
          <w:lang w:eastAsia="zh-Hans"/>
        </w:rPr>
        <w:t>。</w:t>
      </w:r>
      <w:r>
        <w:rPr>
          <w:rFonts w:hint="eastAsia"/>
          <w:sz w:val="24"/>
          <w:szCs w:val="22"/>
          <w:vertAlign w:val="baseline"/>
          <w:lang w:val="en-US" w:eastAsia="zh-Hans"/>
        </w:rPr>
        <w:t>若公司注册地位于上述城市之一</w:t>
      </w:r>
      <w:r>
        <w:rPr>
          <w:rFonts w:hint="default"/>
          <w:sz w:val="24"/>
          <w:szCs w:val="22"/>
          <w:vertAlign w:val="baseline"/>
          <w:lang w:eastAsia="zh-Hans"/>
        </w:rPr>
        <w:t>，</w:t>
      </w:r>
      <w:r>
        <w:rPr>
          <w:rFonts w:hint="eastAsia"/>
          <w:sz w:val="24"/>
          <w:szCs w:val="22"/>
          <w:vertAlign w:val="baseline"/>
          <w:lang w:val="en-US" w:eastAsia="zh-Hans"/>
        </w:rPr>
        <w:t>则认为公司所在地金融化程度较高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Hans"/>
        </w:rPr>
        <w:t>公司治理得分的计算</w:t>
      </w:r>
    </w:p>
    <w:p>
      <w:pPr>
        <w:numPr>
          <w:ilvl w:val="0"/>
          <w:numId w:val="1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计算如下八个指标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：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股权集中度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第一大股东持股比例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独立董事比例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独立董事人数占董事会总人数比例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两职合一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：当CEO与董事长同一人时，取值为1，否则为 0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股东大会次数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年报披露的公司股东大会召开次数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管理层持股；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如变量定义表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产权性质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公司为国有企业时取值为 1；否则为 0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股权制衡度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：（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前十大股东持股比例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 xml:space="preserve"> -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第一大股东持股比例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 xml:space="preserve">）/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第一大股东持股比例</w:t>
      </w:r>
    </w:p>
    <w:p>
      <w:pPr>
        <w:numPr>
          <w:ilvl w:val="0"/>
          <w:numId w:val="2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机构持股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如变量定义表</w:t>
      </w:r>
    </w:p>
    <w:p>
      <w:pPr>
        <w:numPr>
          <w:ilvl w:val="0"/>
          <w:numId w:val="1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对上述八个变量执行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主成分分析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其中第一至第八大主成分的累积解释方差分别为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25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38%、45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81%、58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60%、70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69%、82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52%、91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06%、97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.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44%、100%。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前五个主成分累计解释了82%的方差，因此选取前五个主成分</w:t>
      </w:r>
    </w:p>
    <w:p>
      <w:pPr>
        <w:numPr>
          <w:ilvl w:val="0"/>
          <w:numId w:val="1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将前五个主成分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按特征值进行加权加总</w:t>
      </w:r>
      <w:r>
        <w:rPr>
          <w:rFonts w:hint="default" w:ascii="宋体" w:hAnsi="宋体" w:eastAsia="宋体" w:cs="宋体"/>
          <w:sz w:val="24"/>
          <w:szCs w:val="24"/>
          <w:vertAlign w:val="baseline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权重为解释方差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，得到公司治理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得分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</w:p>
    <w:p>
      <w:p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Hans"/>
        </w:rPr>
        <w:t>公司战略得分的计算</w:t>
      </w:r>
    </w:p>
    <w:p>
      <w:pPr>
        <w:numPr>
          <w:ilvl w:val="0"/>
          <w:numId w:val="3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构建如下六个指标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：</w:t>
      </w:r>
    </w:p>
    <w:p>
      <w:pPr>
        <w:numPr>
          <w:ilvl w:val="0"/>
          <w:numId w:val="4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企业过去五年无形资产占总资产比重的均值</w:t>
      </w:r>
    </w:p>
    <w:p>
      <w:pPr>
        <w:numPr>
          <w:ilvl w:val="0"/>
          <w:numId w:val="4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企业过去五年员工人数与营业收入之比的均值</w:t>
      </w:r>
    </w:p>
    <w:p>
      <w:pPr>
        <w:numPr>
          <w:ilvl w:val="0"/>
          <w:numId w:val="4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企业过去五年营业收入增长率的均值</w:t>
      </w:r>
    </w:p>
    <w:p>
      <w:pPr>
        <w:numPr>
          <w:ilvl w:val="0"/>
          <w:numId w:val="4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企业过去五年销售 费用与营业收入之比的均值</w:t>
      </w:r>
    </w:p>
    <w:p>
      <w:pPr>
        <w:numPr>
          <w:ilvl w:val="0"/>
          <w:numId w:val="4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企业过去五年员工人数的标准差除以平均员工人数</w:t>
      </w:r>
    </w:p>
    <w:p>
      <w:pPr>
        <w:numPr>
          <w:ilvl w:val="0"/>
          <w:numId w:val="4"/>
        </w:numPr>
        <w:bidi w:val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企业过去五年固定资产占总资产比重的均值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按照年度和行业，对每个企业的相应指标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由高到低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按五分位数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分别赋值为1～5（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第六个指标为反向指标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由低到高赋值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）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eastAsia="zh-Hans"/>
        </w:rPr>
        <w:t>将所有企业这六个指标的相应赋值进行加总，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Hans"/>
        </w:rPr>
        <w:t>得到公司战略得分</w:t>
      </w:r>
    </w:p>
    <w:p>
      <w:pPr>
        <w:jc w:val="left"/>
        <w:rPr>
          <w:sz w:val="20"/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</w:pPr>
    </w:p>
    <w:p>
      <w:pPr>
        <w:jc w:val="left"/>
        <w:rPr>
          <w:rFonts w:hint="default" w:eastAsia="宋体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2：</w:t>
      </w:r>
      <w:r>
        <w:rPr>
          <w:rFonts w:hint="eastAsia"/>
          <w:sz w:val="24"/>
          <w:szCs w:val="22"/>
          <w:lang w:val="en-US" w:eastAsia="zh-Hans"/>
        </w:rPr>
        <w:t>变量描述性统计</w:t>
      </w:r>
    </w:p>
    <w:tbl>
      <w:tblPr>
        <w:tblStyle w:val="3"/>
        <w:tblpPr w:leftFromText="180" w:rightFromText="180" w:vertAnchor="page" w:horzAnchor="page" w:tblpX="1702" w:tblpY="262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265"/>
        <w:gridCol w:w="1265"/>
        <w:gridCol w:w="1084"/>
        <w:gridCol w:w="1447"/>
        <w:gridCol w:w="1447"/>
        <w:gridCol w:w="1447"/>
        <w:gridCol w:w="1447"/>
        <w:gridCol w:w="1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SD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eastAsia="宋体" w:cs="Times New Roman Bold"/>
                <w:b/>
                <w:bCs/>
                <w:kern w:val="2"/>
                <w:sz w:val="24"/>
                <w:szCs w:val="24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eastAsia="宋体" w:cs="Times New Roman Bold"/>
                <w:b/>
                <w:bCs/>
                <w:kern w:val="2"/>
                <w:sz w:val="24"/>
                <w:szCs w:val="24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sz w:val="24"/>
                <w:szCs w:val="24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EPS / P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0.0236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0.101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-2.943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0.00827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0.0235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0.0478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2.805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0.631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0.482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Ret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-0.00490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0.442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-0.838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-0.252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-0.0943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0.112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8.947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GGF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0.0396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0.195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S</w:t>
            </w: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ize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22.39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1.338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17.95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21.46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22.23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23.13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28.55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Lev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0.432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0.203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0.00836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0.276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0.424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0.572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1.957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MH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0.0805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0.145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0.00294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0.0920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0.791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19.17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5.565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19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GDP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111763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43646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17642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76960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115623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146030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215488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0.0172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0.556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-1.574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-0.418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-0.0564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0.376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5.203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INS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39.80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24.88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16.56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41.37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59.82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101.0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SINS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1.642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2.987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0.450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2.270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67.84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RF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0.409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0.492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5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RD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15642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4.265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5.514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0.770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3.390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5.290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center"/>
              <w:textAlignment w:val="auto"/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11369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17.99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4.087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6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18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30</w:t>
            </w:r>
          </w:p>
        </w:tc>
      </w:tr>
    </w:tbl>
    <w:p>
      <w:pPr>
        <w:jc w:val="left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表</w:t>
      </w:r>
      <w:r>
        <w:rPr>
          <w:rFonts w:hint="default"/>
          <w:sz w:val="24"/>
          <w:szCs w:val="24"/>
          <w:lang w:eastAsia="zh-Hans"/>
        </w:rPr>
        <w:t>3：</w:t>
      </w:r>
      <w:r>
        <w:rPr>
          <w:rFonts w:hint="eastAsia"/>
          <w:sz w:val="24"/>
          <w:szCs w:val="24"/>
          <w:lang w:val="en-US" w:eastAsia="zh-Hans"/>
        </w:rPr>
        <w:t>变量相关性</w:t>
      </w:r>
    </w:p>
    <w:p>
      <w:pPr>
        <w:jc w:val="left"/>
        <w:rPr>
          <w:rFonts w:hint="default"/>
          <w:sz w:val="24"/>
          <w:szCs w:val="24"/>
          <w:lang w:eastAsia="zh-Hans"/>
        </w:rPr>
      </w:pPr>
    </w:p>
    <w:tbl>
      <w:tblPr>
        <w:tblW w:w="13939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973"/>
        <w:gridCol w:w="1310"/>
        <w:gridCol w:w="1310"/>
        <w:gridCol w:w="1310"/>
        <w:gridCol w:w="1310"/>
        <w:gridCol w:w="1310"/>
        <w:gridCol w:w="1310"/>
        <w:gridCol w:w="1310"/>
        <w:gridCol w:w="1216"/>
      </w:tblGrid>
      <w:tr>
        <w:tblPrEx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EPS / P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 × Ret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0.2325*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GGF × DR × Ret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0.0306*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0.1468*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Size × DR × Ret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0.2260*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0.9972*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0.1530*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Lev × DR × Ret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0.3144*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0.8322*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0.1370*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0.8415*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MH × DR × Ret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0.0856*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0.4319*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0.0539*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0.4143*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0.2834*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6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Age × DR × Ret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0.2198*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0.9329*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0.1326*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0.9351*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0.7969*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0.3386*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77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GDP × DR × Ret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0.2002*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0.8930*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0.1201*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0.8893*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0.7371*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0.4371*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0.8246*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Hans"/>
        </w:rPr>
        <w:t>主检验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主检验使用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Basu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(1997)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的股票回报模型来测试会计稳健性的变化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其模型形式如下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：</w:t>
      </w:r>
    </w:p>
    <w:p>
      <w:pPr>
        <w:ind w:firstLine="720" w:firstLineChars="0"/>
        <w:rPr>
          <w:rFonts w:hint="eastAsia"/>
          <w:kern w:val="2"/>
          <w:sz w:val="28"/>
          <w:szCs w:val="28"/>
          <w:lang w:val="en-US" w:eastAsia="zh-Hans"/>
        </w:rPr>
      </w:pPr>
      <m:oMathPara>
        <m:oMath>
          <m:f>
            <m:fPr>
              <m:type m:val="skw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EPS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i,t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P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i,t−1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den>
          </m:f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=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0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</m:t>
              </m:r>
              <m:r>
                <m:rPr/>
                <w:rPr>
                  <w:rFonts w:hint="eastAsia" w:ascii="DejaVu Math TeX Gyre" w:hAnsi="DejaVu Math TeX Gyre"/>
                  <w:sz w:val="20"/>
                  <w:szCs w:val="20"/>
                  <w:lang w:val="en-US" w:eastAsia="zh-Hans"/>
                </w:rPr>
                <m:t>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3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</m:t>
              </m:r>
              <m:r>
                <m:rPr/>
                <w:rPr>
                  <w:rFonts w:hint="eastAsia" w:ascii="DejaVu Math TeX Gyre" w:hAnsi="DejaVu Math TeX Gyre"/>
                  <w:sz w:val="20"/>
                  <w:szCs w:val="20"/>
                  <w:lang w:val="en-US" w:eastAsia="zh-Hans"/>
                </w:rPr>
                <m:t>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r>
            <m:rPr/>
            <w:rPr>
              <w:rFonts w:ascii="DejaVu Math TeX Gyre" w:hAnsi="DejaVu Math TeX Gyre"/>
              <w:sz w:val="20"/>
              <w:szCs w:val="20"/>
            </w:rPr>
            <m:t>ε</m:t>
          </m:r>
        </m:oMath>
      </m:oMathPara>
    </w:p>
    <w:p>
      <w:pPr>
        <w:bidi w:val="0"/>
        <w:rPr>
          <w:rFonts w:hint="eastAsia" w:hAnsi="DejaVu Math TeX Gyre"/>
          <w:i w:val="0"/>
          <w:sz w:val="24"/>
          <w:szCs w:val="24"/>
          <w:lang w:val="en-US" w:eastAsia="zh-Hans"/>
        </w:rPr>
      </w:pPr>
      <w:r>
        <w:rPr>
          <w:rFonts w:hint="eastAsia"/>
          <w:kern w:val="2"/>
          <w:sz w:val="24"/>
          <w:szCs w:val="24"/>
          <w:lang w:val="en-US" w:eastAsia="zh-Hans"/>
        </w:rPr>
        <w:t>其中</w:t>
      </w:r>
      <w:r>
        <w:rPr>
          <w:rFonts w:hint="default"/>
          <w:kern w:val="2"/>
          <w:sz w:val="24"/>
          <w:szCs w:val="24"/>
          <w:lang w:eastAsia="zh-Hans"/>
        </w:rPr>
        <w:t>，</w:t>
      </w:r>
      <m:oMath>
        <m:sSub>
          <m:sSubP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EPS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ub>
        </m:sSub>
      </m:oMath>
      <w:r>
        <w:rPr>
          <w:rFonts w:hint="eastAsia" w:hAnsi="DejaVu Math TeX Gyre"/>
          <w:i w:val="0"/>
          <w:sz w:val="24"/>
          <w:szCs w:val="24"/>
          <w:lang w:val="en-US" w:eastAsia="zh-Hans"/>
        </w:rPr>
        <w:t>为公司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i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在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t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年度的每股收益</w:t>
      </w:r>
      <w:r>
        <w:rPr>
          <w:rFonts w:hint="default" w:hAnsi="DejaVu Math TeX Gyre"/>
          <w:i w:val="0"/>
          <w:sz w:val="24"/>
          <w:szCs w:val="24"/>
          <w:lang w:eastAsia="zh-Hans"/>
        </w:rPr>
        <w:t>；</w:t>
      </w:r>
      <m:oMath>
        <m:sSub>
          <m:sSubP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P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i,t−1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ub>
        </m:sSub>
      </m:oMath>
      <w:r>
        <w:rPr>
          <w:rFonts w:hint="default" w:hAnsi="DejaVu Math TeX Gyre"/>
          <w:i w:val="0"/>
          <w:sz w:val="24"/>
          <w:szCs w:val="24"/>
          <w:lang w:eastAsia="zh-Hans"/>
        </w:rPr>
        <w:t>表示公司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i</w:t>
      </w:r>
      <w:r>
        <w:rPr>
          <w:rFonts w:hint="default" w:hAnsi="DejaVu Math TeX Gyre"/>
          <w:i w:val="0"/>
          <w:sz w:val="24"/>
          <w:szCs w:val="24"/>
          <w:lang w:eastAsia="zh-Hans"/>
        </w:rPr>
        <w:t>在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t</w:t>
      </w:r>
      <w:r>
        <w:rPr>
          <w:rFonts w:hint="default" w:hAnsi="DejaVu Math TeX Gyre"/>
          <w:i w:val="0"/>
          <w:sz w:val="24"/>
          <w:szCs w:val="24"/>
          <w:lang w:eastAsia="zh-Hans"/>
        </w:rPr>
        <w:t xml:space="preserve">年初的股票开盘价; </w:t>
      </w:r>
      <m:oMath>
        <m:sSub>
          <m:sSubP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R</m:t>
            </m:r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et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ub>
        </m:sSub>
      </m:oMath>
      <w:r>
        <w:rPr>
          <w:rFonts w:hint="default" w:hAnsi="DejaVu Math TeX Gyre"/>
          <w:i w:val="0"/>
          <w:sz w:val="24"/>
          <w:szCs w:val="24"/>
          <w:lang w:eastAsia="zh-Hans"/>
        </w:rPr>
        <w:t>表示公司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i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从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t</w:t>
      </w:r>
      <w:r>
        <w:rPr>
          <w:rFonts w:hint="default" w:hAnsi="DejaVu Math TeX Gyre"/>
          <w:i w:val="0"/>
          <w:sz w:val="24"/>
          <w:szCs w:val="24"/>
          <w:lang w:eastAsia="zh-Hans"/>
        </w:rPr>
        <w:t>年度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五月至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t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eastAsia="zh-Hans"/>
        </w:rPr>
        <w:t>+1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年度四月</w:t>
      </w:r>
      <w:r>
        <w:rPr>
          <w:rFonts w:hint="default" w:hAnsi="DejaVu Math TeX Gyre"/>
          <w:i w:val="0"/>
          <w:sz w:val="24"/>
          <w:szCs w:val="24"/>
          <w:lang w:eastAsia="zh-Hans"/>
        </w:rPr>
        <w:t>的股票报酬率，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计算公式为</w:t>
      </w:r>
    </w:p>
    <w:p>
      <w:pPr>
        <w:bidi w:val="0"/>
        <w:rPr>
          <w:rFonts w:hint="default" w:hAnsi="DejaVu Math TeX Gyre"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</m:t>
              </m:r>
              <m:r>
                <m:rPr/>
                <w:rPr>
                  <w:rFonts w:hint="eastAsia" w:ascii="DejaVu Math TeX Gyre" w:hAnsi="DejaVu Math TeX Gyre"/>
                  <w:sz w:val="20"/>
                  <w:szCs w:val="20"/>
                  <w:lang w:val="en-US" w:eastAsia="zh-Hans"/>
                </w:rPr>
                <m:t>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= </m:t>
          </m:r>
          <m:nary>
            <m:naryPr>
              <m:chr m:val="∏"/>
              <m:limLoc m:val="undOvr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hint="eastAsia" w:ascii="DejaVu Math TeX Gyre" w:hAnsi="DejaVu Math TeX Gyre"/>
                  <w:sz w:val="20"/>
                  <w:szCs w:val="20"/>
                  <w:lang w:val="en-US" w:eastAsia="zh-Hans"/>
                </w:rPr>
                <m:t>j</m:t>
              </m:r>
              <m:r>
                <m:rPr/>
                <w:rPr>
                  <w:rFonts w:hint="default" w:ascii="DejaVu Math TeX Gyre" w:hAnsi="DejaVu Math TeX Gyre"/>
                  <w:sz w:val="20"/>
                  <w:szCs w:val="20"/>
                  <w:lang w:eastAsia="zh-Hans"/>
                </w:rPr>
                <m:t>=5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12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 xml:space="preserve">(1 + 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R</m:t>
                  </m:r>
                  <m:r>
                    <m:rPr/>
                    <w:rPr>
                      <w:rFonts w:hint="eastAsia" w:ascii="DejaVu Math TeX Gyre" w:hAnsi="DejaVu Math TeX Gyre"/>
                      <w:sz w:val="20"/>
                      <w:szCs w:val="20"/>
                      <w:lang w:val="en-US" w:eastAsia="zh-Hans"/>
                    </w:rPr>
                    <m:t>et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i,t,j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)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nary>
            <m:naryPr>
              <m:chr m:val="∏"/>
              <m:limLoc m:val="undOvr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hint="eastAsia" w:ascii="DejaVu Math TeX Gyre" w:hAnsi="DejaVu Math TeX Gyre"/>
                  <w:sz w:val="20"/>
                  <w:szCs w:val="20"/>
                  <w:lang w:val="en-US" w:eastAsia="zh-Hans"/>
                </w:rPr>
                <m:t>j</m:t>
              </m:r>
              <m:r>
                <m:rPr/>
                <w:rPr>
                  <w:rFonts w:hint="default" w:ascii="DejaVu Math TeX Gyre" w:hAnsi="DejaVu Math TeX Gyre"/>
                  <w:sz w:val="20"/>
                  <w:szCs w:val="20"/>
                  <w:lang w:eastAsia="zh-Hans"/>
                </w:rPr>
                <m:t>=1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4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 xml:space="preserve">(1 + 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R</m:t>
                  </m:r>
                  <m:r>
                    <m:rPr/>
                    <w:rPr>
                      <w:rFonts w:hint="eastAsia" w:ascii="DejaVu Math TeX Gyre" w:hAnsi="DejaVu Math TeX Gyre"/>
                      <w:sz w:val="20"/>
                      <w:szCs w:val="20"/>
                      <w:lang w:val="en-US" w:eastAsia="zh-Hans"/>
                    </w:rPr>
                    <m:t>et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i,t+1,j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) − 1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</m:oMath>
      </m:oMathPara>
    </w:p>
    <w:p>
      <w:pPr>
        <w:bidi w:val="0"/>
        <w:rPr>
          <w:rFonts w:hint="default" w:hAnsi="DejaVu Math TeX Gyre"/>
          <w:i w:val="0"/>
          <w:sz w:val="24"/>
          <w:szCs w:val="24"/>
          <w:lang w:eastAsia="zh-Hans"/>
        </w:rPr>
      </w:pPr>
      <w:r>
        <w:rPr>
          <w:rFonts w:hint="default" w:hAnsi="DejaVu Math TeX Gyre"/>
          <w:i w:val="0"/>
          <w:sz w:val="24"/>
          <w:szCs w:val="24"/>
        </w:rPr>
        <w:t xml:space="preserve"> </w:t>
      </w:r>
      <w:r>
        <w:rPr>
          <w:rFonts w:hint="default" w:hAnsi="DejaVu Math TeX Gyre"/>
          <w:i w:val="0"/>
          <w:sz w:val="24"/>
          <w:szCs w:val="24"/>
          <w:lang w:eastAsia="zh-Hans"/>
        </w:rPr>
        <w:t>(</w:t>
      </w:r>
      <m:oMath>
        <m:sSub>
          <m:sSubP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R</m:t>
            </m:r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et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i,t,j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ub>
        </m:sSub>
      </m:oMath>
      <w:r>
        <w:rPr>
          <w:rFonts w:hint="default" w:hAnsi="DejaVu Math TeX Gyre"/>
          <w:i w:val="0"/>
          <w:sz w:val="24"/>
          <w:szCs w:val="24"/>
          <w:lang w:eastAsia="zh-Hans"/>
        </w:rPr>
        <w:t>表示公司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eastAsia="zh-Hans"/>
        </w:rPr>
        <w:t>i</w:t>
      </w:r>
      <w:r>
        <w:rPr>
          <w:rFonts w:hint="default" w:hAnsi="DejaVu Math TeX Gyre"/>
          <w:i w:val="0"/>
          <w:sz w:val="24"/>
          <w:szCs w:val="24"/>
          <w:lang w:eastAsia="zh-Hans"/>
        </w:rPr>
        <w:t>在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eastAsia="zh-Hans"/>
        </w:rPr>
        <w:t>t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年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eastAsia="zh-Hans"/>
        </w:rPr>
        <w:t>j</w:t>
      </w:r>
      <w:r>
        <w:rPr>
          <w:rFonts w:hint="default" w:hAnsi="DejaVu Math TeX Gyre"/>
          <w:i w:val="0"/>
          <w:sz w:val="24"/>
          <w:szCs w:val="24"/>
          <w:lang w:eastAsia="zh-Hans"/>
        </w:rPr>
        <w:t xml:space="preserve">月的股票报酬率) ; </w:t>
      </w:r>
      <m:oMath>
        <m:sSub>
          <m:sSubPr>
            <m:ctrlPr>
              <w:rPr>
                <w:rFonts w:ascii="DejaVu Math TeX Gyre" w:hAnsi="DejaVu Math TeX Gyre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DR</m:t>
            </m:r>
            <m:ctrlPr>
              <w:rPr>
                <w:rFonts w:ascii="DejaVu Math TeX Gyre" w:hAnsi="DejaVu Math TeX Gyre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</m:t>
            </m:r>
            <m:ctrlPr>
              <w:rPr>
                <w:rFonts w:ascii="DejaVu Math TeX Gyre" w:hAnsi="DejaVu Math TeX Gyre"/>
                <w:i/>
                <w:sz w:val="24"/>
                <w:szCs w:val="24"/>
              </w:rPr>
            </m:ctrlPr>
          </m:sub>
        </m:sSub>
        <m:r>
          <m:rPr/>
          <w:rPr>
            <w:rFonts w:hint="default" w:ascii="DejaVu Math TeX Gyre" w:hAnsi="DejaVu Math TeX Gyre"/>
            <w:sz w:val="24"/>
            <w:szCs w:val="24"/>
          </w:rPr>
          <m:t xml:space="preserve"> </m:t>
        </m:r>
      </m:oMath>
      <w:r>
        <w:rPr>
          <w:rFonts w:hint="default" w:hAnsi="DejaVu Math TeX Gyre"/>
          <w:i w:val="0"/>
          <w:sz w:val="24"/>
          <w:szCs w:val="24"/>
          <w:lang w:eastAsia="zh-Hans"/>
        </w:rPr>
        <w:t>为虚拟变量，当</w:t>
      </w:r>
      <m:oMath>
        <m:sSub>
          <m:sSubP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R</m:t>
            </m:r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et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</m:t>
            </m:r>
            <m:ctrlPr>
              <w:rPr>
                <w:rFonts w:hint="default" w:ascii="DejaVu Math TeX Gyre" w:hAnsi="DejaVu Math TeX Gyre"/>
                <w:i/>
                <w:sz w:val="24"/>
                <w:szCs w:val="24"/>
              </w:rPr>
            </m:ctrlPr>
          </m:sub>
        </m:sSub>
      </m:oMath>
      <w:r>
        <w:rPr>
          <w:rFonts w:hint="default" w:hAnsi="DejaVu Math TeX Gyre"/>
          <w:i w:val="0"/>
          <w:sz w:val="24"/>
          <w:szCs w:val="24"/>
          <w:lang w:eastAsia="zh-Hans"/>
        </w:rPr>
        <w:t>＜0时取值为1，否则为0</w:t>
      </w:r>
    </w:p>
    <w:p>
      <w:pPr>
        <w:bidi w:val="0"/>
        <w:ind w:firstLine="560"/>
        <w:rPr>
          <w:rFonts w:hint="default" w:hAnsi="DejaVu Math TeX Gyre"/>
          <w:i w:val="0"/>
          <w:sz w:val="24"/>
          <w:szCs w:val="24"/>
          <w:lang w:eastAsia="zh-Hans"/>
        </w:rPr>
      </w:pPr>
      <w:r>
        <w:rPr>
          <w:rFonts w:hint="eastAsia" w:hAnsi="DejaVu Math TeX Gyre"/>
          <w:i w:val="0"/>
          <w:sz w:val="24"/>
          <w:szCs w:val="24"/>
          <w:lang w:val="en-US" w:eastAsia="zh-Hans"/>
        </w:rPr>
        <w:t>为了检验我们的假设</w:t>
      </w:r>
      <w:r>
        <w:rPr>
          <w:rFonts w:hint="default" w:hAnsi="DejaVu Math TeX Gyre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参考Ahmed</w:t>
      </w:r>
      <w:r>
        <w:rPr>
          <w:rFonts w:hint="default" w:hAnsi="DejaVu Math TeX Gyre"/>
          <w:i w:val="0"/>
          <w:sz w:val="24"/>
          <w:szCs w:val="24"/>
          <w:lang w:eastAsia="zh-Hans"/>
        </w:rPr>
        <w:t>(2013)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和Chang</w:t>
      </w:r>
      <w:r>
        <w:rPr>
          <w:rFonts w:hint="default" w:hAnsi="DejaVu Math TeX Gyre"/>
          <w:i w:val="0"/>
          <w:sz w:val="24"/>
          <w:szCs w:val="24"/>
          <w:lang w:eastAsia="zh-Hans"/>
        </w:rPr>
        <w:t>(2015)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对Basu模型进行扩展</w:t>
      </w:r>
      <w:r>
        <w:rPr>
          <w:rFonts w:hint="default" w:hAnsi="DejaVu Math TeX Gyre"/>
          <w:i w:val="0"/>
          <w:sz w:val="24"/>
          <w:szCs w:val="24"/>
          <w:lang w:eastAsia="zh-Hans"/>
        </w:rPr>
        <w:t>：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40" w:lineRule="exact"/>
        <w:ind w:left="0" w:right="0"/>
        <w:jc w:val="left"/>
        <w:textAlignment w:val="auto"/>
        <w:rPr>
          <w:rFonts w:hint="default" w:hAnsi="DejaVu Math TeX Gyre"/>
          <w:i/>
          <w:sz w:val="20"/>
          <w:szCs w:val="20"/>
        </w:rPr>
      </w:pPr>
      <m:oMathPara>
        <m:oMath>
          <m:f>
            <m:fPr>
              <m:type m:val="skw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EPS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i,t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P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i,t−1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den>
          </m:f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=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0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1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3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</m:oMath>
      </m:oMathPara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40" w:lineRule="exact"/>
        <w:ind w:left="0" w:right="0"/>
        <w:jc w:val="left"/>
        <w:textAlignment w:val="auto"/>
        <w:rPr>
          <w:rFonts w:hint="default" w:hAnsi="DejaVu Math TeX Gyre"/>
          <w:i/>
          <w:sz w:val="20"/>
          <w:szCs w:val="20"/>
        </w:rPr>
      </w:pPr>
      <m:oMathPara>
        <m:oMath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4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G</m:t>
              </m:r>
              <m:r>
                <m:rPr/>
                <w:rPr>
                  <w:rFonts w:hint="eastAsia" w:ascii="DejaVu Math TeX Gyre" w:hAnsi="DejaVu Math TeX Gyre"/>
                  <w:sz w:val="20"/>
                  <w:szCs w:val="20"/>
                  <w:lang w:val="en-US" w:eastAsia="zh-Hans"/>
                </w:rPr>
                <m:t>G</m:t>
              </m:r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F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5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GGF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6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GGF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β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7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GGF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+ </m:t>
          </m:r>
        </m:oMath>
      </m:oMathPara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40" w:lineRule="exact"/>
        <w:ind w:left="0" w:right="0"/>
        <w:jc w:val="left"/>
        <w:textAlignment w:val="auto"/>
        <w:rPr>
          <w:rFonts w:hint="default" w:hAnsi="DejaVu Math TeX Gyre"/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20"/>
                      <w:szCs w:val="20"/>
                    </w:rPr>
                    <m:t>γ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r>
            <m:rPr/>
            <w:rPr>
              <w:rFonts w:hint="default" w:ascii="DejaVu Math TeX Gyre" w:hAnsi="DejaVu Math TeX Gyre"/>
              <w:sz w:val="20"/>
              <w:szCs w:val="20"/>
            </w:rPr>
            <m:t>Control</m:t>
          </m:r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20"/>
                      <w:szCs w:val="20"/>
                    </w:rPr>
                    <m:t>γ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r>
            <m:rPr/>
            <w:rPr>
              <w:rFonts w:hint="default" w:ascii="DejaVu Math TeX Gyre" w:hAnsi="DejaVu Math TeX Gyre"/>
              <w:sz w:val="20"/>
              <w:szCs w:val="20"/>
            </w:rPr>
            <m:t>Control</m:t>
          </m:r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20"/>
                      <w:szCs w:val="20"/>
                    </w:rPr>
                    <m:t>γ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>3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r>
            <m:rPr/>
            <w:rPr>
              <w:rFonts w:hint="default" w:ascii="DejaVu Math TeX Gyre" w:hAnsi="DejaVu Math TeX Gyre"/>
              <w:sz w:val="20"/>
              <w:szCs w:val="20"/>
            </w:rPr>
            <m:t>Control</m:t>
          </m:r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Ret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DejaVu Math TeX Gyre" w:hAnsi="DejaVu Math TeX Gyre"/>
              <w:sz w:val="20"/>
              <w:szCs w:val="20"/>
            </w:rPr>
            <m:t>×</m:t>
          </m:r>
          <m:sSub>
            <m:sSubP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DR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ascii="DejaVu Math TeX Gyre" w:hAnsi="DejaVu Math TeX Gyre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Years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 xml:space="preserve">Industrys +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naryPr>
                <m:sub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b>
                <m:sup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/>
                      <w:sz w:val="20"/>
                      <w:szCs w:val="20"/>
                    </w:rPr>
                    <m:t xml:space="preserve">Provinces </m:t>
                  </m:r>
                  <m:ctrlPr>
                    <w:rPr>
                      <w:rFonts w:hint="default" w:ascii="DejaVu Math TeX Gyre" w:hAnsi="DejaVu Math TeX Gyre"/>
                      <w:i/>
                      <w:sz w:val="20"/>
                      <w:szCs w:val="20"/>
                    </w:rPr>
                  </m:ctrlPr>
                </m:e>
              </m:nary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+ </m:t>
          </m:r>
        </m:oMath>
      </m:oMathPara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40" w:lineRule="exact"/>
        <w:ind w:left="0" w:right="0"/>
        <w:jc w:val="left"/>
        <w:textAlignment w:val="auto"/>
        <w:rPr>
          <w:rFonts w:hint="default" w:hAnsi="DejaVu Math TeX Gyre"/>
          <w:i w:val="0"/>
          <w:sz w:val="28"/>
          <w:szCs w:val="28"/>
          <w:lang w:eastAsia="zh-Han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 xml:space="preserve">Years </m:t>
              </m:r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×</m:t>
              </m:r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 xml:space="preserve"> Industrys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naryPr>
            <m:sub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  <m:sup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 xml:space="preserve">Years </m:t>
              </m:r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×</m:t>
              </m:r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 xml:space="preserve"> Provinces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</m:nary>
          <m:r>
            <m:rPr/>
            <w:rPr>
              <w:rFonts w:hint="default" w:ascii="DejaVu Math TeX Gyre" w:hAnsi="DejaVu Math TeX Gyre"/>
              <w:sz w:val="20"/>
              <w:szCs w:val="20"/>
            </w:rPr>
            <m:t xml:space="preserve"> + 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0"/>
                  <w:szCs w:val="20"/>
                </w:rPr>
                <m:t>ε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0"/>
                  <w:szCs w:val="20"/>
                </w:rPr>
                <m:t>i,t</m:t>
              </m:r>
              <m:ctrlPr>
                <w:rPr>
                  <w:rFonts w:hint="default" w:ascii="DejaVu Math TeX Gyre" w:hAnsi="DejaVu Math TeX Gyre"/>
                  <w:i/>
                  <w:sz w:val="20"/>
                  <w:szCs w:val="20"/>
                </w:rPr>
              </m:ctrlPr>
            </m:sub>
          </m:sSub>
        </m:oMath>
      </m:oMathPara>
    </w:p>
    <w:p>
      <w:pPr>
        <w:bidi w:val="0"/>
        <w:rPr>
          <w:rFonts w:hint="eastAsia"/>
          <w:b/>
          <w:bCs/>
          <w:sz w:val="24"/>
          <w:szCs w:val="24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hAnsi="DejaVu Math TeX Gyre"/>
          <w:i w:val="0"/>
          <w:sz w:val="24"/>
          <w:szCs w:val="24"/>
          <w:lang w:val="en-US" w:eastAsia="zh-Hans"/>
        </w:rPr>
        <w:t>其中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GGF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为引导基金持股</w:t>
      </w:r>
      <w:r>
        <w:rPr>
          <w:rFonts w:hint="default" w:hAnsi="DejaVu Math TeX Gyre"/>
          <w:i w:val="0"/>
          <w:sz w:val="24"/>
          <w:szCs w:val="24"/>
          <w:lang w:eastAsia="zh-Hans"/>
        </w:rPr>
        <w:t>，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 w:eastAsia="zh-Hans"/>
        </w:rPr>
        <w:t>Control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是模型控制变量</w:t>
      </w:r>
      <w:r>
        <w:rPr>
          <w:rFonts w:hint="default" w:hAnsi="DejaVu Math TeX Gyre"/>
          <w:i w:val="0"/>
          <w:sz w:val="24"/>
          <w:szCs w:val="24"/>
          <w:lang w:eastAsia="zh-Hans"/>
        </w:rPr>
        <w:t>（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公司规模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资产负债率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管理层持股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成立时长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地区人均GDP</w:t>
      </w:r>
      <w:r>
        <w:rPr>
          <w:rFonts w:hint="default" w:hAnsi="DejaVu Math TeX Gyre"/>
          <w:i w:val="0"/>
          <w:sz w:val="24"/>
          <w:szCs w:val="24"/>
          <w:lang w:eastAsia="zh-Hans"/>
        </w:rPr>
        <w:t>），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另外控制了年度固定效应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行业固定效应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省份固定效应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年度</w:t>
      </w:r>
      <w:r>
        <w:rPr>
          <w:rFonts w:hint="default" w:hAnsi="DejaVu Math TeX Gyre"/>
          <w:i w:val="0"/>
          <w:sz w:val="24"/>
          <w:szCs w:val="24"/>
          <w:lang w:eastAsia="zh-Hans"/>
        </w:rPr>
        <w:t>-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行业高维固定效应</w:t>
      </w:r>
      <w:r>
        <w:rPr>
          <w:rFonts w:hint="default" w:hAnsi="DejaVu Math TeX Gyre"/>
          <w:i w:val="0"/>
          <w:sz w:val="24"/>
          <w:szCs w:val="24"/>
          <w:lang w:eastAsia="zh-Hans"/>
        </w:rPr>
        <w:t>、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年度</w:t>
      </w:r>
      <w:r>
        <w:rPr>
          <w:rFonts w:hint="default" w:hAnsi="DejaVu Math TeX Gyre"/>
          <w:i w:val="0"/>
          <w:sz w:val="24"/>
          <w:szCs w:val="24"/>
          <w:lang w:eastAsia="zh-Hans"/>
        </w:rPr>
        <w:t>-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省份高维固定效应</w:t>
      </w:r>
    </w:p>
    <w:p>
      <w:pPr>
        <w:jc w:val="left"/>
        <w:rPr>
          <w:rFonts w:hint="eastAsia"/>
          <w:sz w:val="24"/>
          <w:szCs w:val="22"/>
          <w:lang w:val="en-US" w:eastAsia="zh-Hans"/>
        </w:rPr>
      </w:pPr>
    </w:p>
    <w:p>
      <w:pPr>
        <w:jc w:val="left"/>
        <w:rPr>
          <w:rFonts w:hint="eastAsia"/>
          <w:sz w:val="24"/>
          <w:szCs w:val="22"/>
          <w:lang w:val="en-US" w:eastAsia="zh-Hans"/>
        </w:rPr>
      </w:pPr>
    </w:p>
    <w:p>
      <w:pPr>
        <w:jc w:val="left"/>
        <w:rPr>
          <w:rFonts w:hint="default" w:eastAsia="宋体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4：</w:t>
      </w:r>
      <w:r>
        <w:rPr>
          <w:rFonts w:hint="eastAsia"/>
          <w:sz w:val="24"/>
          <w:szCs w:val="22"/>
          <w:lang w:val="en-US" w:eastAsia="zh-Hans"/>
        </w:rPr>
        <w:t>基准回归</w:t>
      </w:r>
    </w:p>
    <w:p>
      <w:pPr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1256"/>
        <w:gridCol w:w="1177"/>
        <w:gridCol w:w="1422"/>
        <w:gridCol w:w="1386"/>
        <w:gridCol w:w="1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(3)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Simple OLS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Simple FE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Simple High FE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Control OLS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Control High 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DR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0.0216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0.0203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0.0132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-0.0682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-0.0424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(1.8464)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(1.7579)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(1.1393)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(-1.5016)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(-0.9414)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0.0209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0.0227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0.0232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-0.118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-0.132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(8.0049)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(8.7174)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(8.9209)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(-2.4758)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(-2.7879)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DR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×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0.126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0.127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0.131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-0.446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-0.423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(16.9560)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(17.0260)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(17.6056)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(-3.5314)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(-3.3515)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GGF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0.0165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0.0190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0.0209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0.00837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0.0134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(2.2783)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(2.6350)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(2.9157)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(1.2104)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(1.9486)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DR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-0.0111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-0.0107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-0.00475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-0.00186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(-0.9244)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(-0.9008)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(-0.4021)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(-0.1642)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(0.1279)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-0.0166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-0.0183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-0.0169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-0.0278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-0.0285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(-1.7482)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(-1.9509)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(-1.8064)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(-2.9878)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(-3.0841)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0.0953</w:t>
            </w: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0.0987</w:t>
            </w: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0.0901</w:t>
            </w: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0.0709</w:t>
            </w: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0.0739</w:t>
            </w: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  <w:vertAlign w:val="superscript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(2.5300)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(2.6496)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(2.4187)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(1.9872)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bdr w:val="none" w:color="auto" w:sz="0" w:space="0"/>
              </w:rPr>
              <w:t>(2.0862)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Size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0.0225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0.0220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(16.7416)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(16.2651)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Size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>DR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0.00270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(1.3570)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(0.8973)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 xml:space="preserve">Size </w:t>
            </w:r>
            <w:r>
              <w:rPr>
                <w:rFonts w:hint="default" w:ascii="Times New Roman Regular" w:hAnsi="Times New Roman Regular" w:cs="Times New Roman Regular"/>
              </w:rPr>
              <w:t>×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 xml:space="preserve"> 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0.00750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0.00823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(3.3247)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(3.6792)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Size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</w:t>
            </w:r>
            <w:r>
              <w:rPr>
                <w:rFonts w:hint="default" w:ascii="Times New Roman Regular" w:hAnsi="Times New Roman Regular" w:cs="Times New Roman Regul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0.0136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0.0136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(2.3518)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(2.3605)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Lev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-0.0917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-0.0969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(-9.8595)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(-10.3895)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Lev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0.0549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0.0449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(4.2205)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(3.4863)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Lev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-0.00509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-0.00339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(-0.3277)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(-0.2205)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Lev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0.410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0.374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(12.8739)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(11.7955)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MH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0.00597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0.00483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(0.5222)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(0.4267)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MH</w:t>
            </w:r>
            <w:r>
              <w:rPr>
                <w:rFonts w:hint="default" w:ascii="Times New Roman Regular" w:hAnsi="Times New Roman Regular" w:cs="Times New Roman Regular"/>
              </w:rPr>
              <w:t xml:space="preserve"> ×</w:t>
            </w:r>
            <w:r>
              <w:rPr>
                <w:rFonts w:hint="default" w:ascii="Times New Roman Regular" w:hAnsi="Times New Roman Regular" w:cs="Times New Roman Regular"/>
              </w:rPr>
              <w:t xml:space="preserve"> DR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0.0151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0.0164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(0.8790)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(0.9674)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MH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 w:ascii="Arial" w:hAnsi="Arial" w:cs="Arial"/>
              </w:rPr>
              <w:t xml:space="preserve">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0.00341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0.000223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(0.2181)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(0.0145)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MH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0.0393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(0.8163)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(0.4311)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0.000526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0.000640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(1.8519)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(2.2450)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Age</w:t>
            </w:r>
            <w:r>
              <w:rPr>
                <w:rFonts w:hint="default" w:ascii="Times New Roman Regular" w:hAnsi="Times New Roman Regular" w:cs="Times New Roman Regular"/>
              </w:rPr>
              <w:t xml:space="preserve"> × DR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-0.000160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-0.000324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(-0.3748)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(-0.7680)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Age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-0.000969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-0.00102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(-2.1122)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(-2.2579)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Age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0.00288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0.00297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(2.2804)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(2.3715)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GDP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5.10e-09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5.47e-08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(0.1451)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(1.3567)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GDP</w:t>
            </w:r>
            <w:r>
              <w:rPr>
                <w:rFonts w:hint="default" w:ascii="Times New Roman Regular" w:hAnsi="Times New Roman Regular" w:cs="Times New Roman Regular"/>
              </w:rPr>
              <w:t xml:space="preserve"> ×</w:t>
            </w:r>
            <w:r>
              <w:rPr>
                <w:rFonts w:hint="default" w:ascii="Times New Roman Regular" w:hAnsi="Times New Roman Regular" w:cs="Times New Roman Regul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</w:rPr>
              <w:t>DR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-4.53e-08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-7.42e-08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(-0.8465)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(-1.4012)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GDP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-9.03e-08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-9.17e-08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(-1.6276)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(-1.6705)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GDP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 xml:space="preserve">DR × 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-3.18e-08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-5.27e-08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(-0.1990)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(-0.3312)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Constant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0.0347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0.0353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0.0368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-0.442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-0.434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(21.0999)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(21.5862)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(22.4580)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(-15.3485)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(-14.8732)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Industry FE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Year FE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Province FE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Industry</w:t>
            </w:r>
            <w:r>
              <w:rPr>
                <w:rFonts w:hint="default" w:ascii="Times New Roman Regular" w:hAnsi="Times New Roman Regular" w:cs="Times New Roman Regular"/>
              </w:rPr>
              <w:t>-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Year FE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Province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-</w:t>
            </w: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Year FE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Obs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15642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15642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15638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15642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15638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adjusted-R2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0.0546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0.0803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0.0962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0.163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bdr w:val="none" w:color="auto" w:sz="0" w:space="0"/>
              </w:rPr>
              <w:t>0.196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i/>
          <w:iCs/>
        </w:rPr>
        <w:t>t</w:t>
      </w:r>
      <w: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</w:pPr>
      <w:r>
        <w:rPr>
          <w:vertAlign w:val="superscript"/>
        </w:rPr>
        <w:t>*</w:t>
      </w:r>
      <w:r>
        <w:t xml:space="preserve"> </w:t>
      </w:r>
      <w:r>
        <w:rPr>
          <w:i/>
          <w:iCs/>
        </w:rPr>
        <w:t>p</w:t>
      </w:r>
      <w:r>
        <w:t xml:space="preserve"> &lt; 0.10, </w:t>
      </w:r>
      <w:r>
        <w:rPr>
          <w:vertAlign w:val="superscript"/>
        </w:rPr>
        <w:t>**</w:t>
      </w:r>
      <w:r>
        <w:t xml:space="preserve"> </w:t>
      </w:r>
      <w:r>
        <w:rPr>
          <w:i/>
          <w:iCs/>
        </w:rPr>
        <w:t>p</w:t>
      </w:r>
      <w:r>
        <w:t xml:space="preserve"> &lt; 0.05, </w:t>
      </w:r>
      <w:r>
        <w:rPr>
          <w:vertAlign w:val="superscript"/>
        </w:rPr>
        <w:t>***</w:t>
      </w:r>
      <w:r>
        <w:t xml:space="preserve"> </w:t>
      </w:r>
      <w:r>
        <w:rPr>
          <w:i/>
          <w:iCs/>
        </w:rPr>
        <w:t>p</w:t>
      </w:r>
      <w:r>
        <w:t xml:space="preserve"> &lt; 0.01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5：</w:t>
      </w:r>
      <w:r>
        <w:rPr>
          <w:rFonts w:hint="eastAsia"/>
          <w:sz w:val="24"/>
          <w:szCs w:val="22"/>
          <w:lang w:val="en-US" w:eastAsia="zh-Hans"/>
        </w:rPr>
        <w:t>基金行政级别效应</w:t>
      </w:r>
    </w:p>
    <w:p>
      <w:pPr>
        <w:jc w:val="left"/>
        <w:rPr>
          <w:rFonts w:hint="default"/>
          <w:lang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1452"/>
        <w:gridCol w:w="1645"/>
        <w:gridCol w:w="1556"/>
        <w:gridCol w:w="2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No Country 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Country (Control)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Country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Country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-0.0472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0.00315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(1.6879)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(-1.0402)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(0.1414)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(-0.8525)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-0.101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-0.126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(8.7574)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(-2.0746)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(8.6881)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(-2.6195)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-0.487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-0.429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(17.1530)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(-3.8426)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(17.0506)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(-3.3606)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0.0106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0.0129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0.0450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(1.1981)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(1.5265)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(3.6192)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(1.9299)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-0.0135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0.00419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0.00654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(-0.9683)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(0.3178)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(0.2918)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(0.2619)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-0.0309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-0.0449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-0.0176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-0.0220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(-2.1213)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(-3.1724)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(-1.4646)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(-1.8704)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</w:t>
            </w:r>
            <w:r>
              <w:rPr>
                <w:rFonts w:hint="default" w:ascii="Times New Roman Regular" w:hAnsi="Times New Roman Regular" w:cs="Times New Roman Regular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0.133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0.100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-0.00173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(3.0955)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(2.4531)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(-0.0225)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(0.2301)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15465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15461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15199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0.0797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0.196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0.0807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val="en-US" w:eastAsia="zh-Hans"/>
        </w:rPr>
      </w:pPr>
    </w:p>
    <w:p>
      <w:pPr>
        <w:numPr>
          <w:numId w:val="0"/>
        </w:numPr>
        <w:jc w:val="left"/>
        <w:rPr>
          <w:rFonts w:hint="default" w:eastAsia="宋体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</w:rPr>
        <w:t>(1)(2)</w:t>
      </w:r>
      <w:r>
        <w:rPr>
          <w:rFonts w:hint="eastAsia"/>
          <w:sz w:val="24"/>
          <w:szCs w:val="24"/>
          <w:lang w:val="en-US" w:eastAsia="zh-Hans"/>
        </w:rPr>
        <w:t>列只包括非国家级引导基金持股样本</w:t>
      </w:r>
    </w:p>
    <w:p>
      <w:pPr>
        <w:numPr>
          <w:ilvl w:val="0"/>
          <w:numId w:val="0"/>
        </w:numPr>
        <w:jc w:val="left"/>
        <w:rPr>
          <w:rFonts w:hint="default" w:eastAsia="宋体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</w:rPr>
        <w:t>(3)(4)</w:t>
      </w:r>
      <w:r>
        <w:rPr>
          <w:rFonts w:hint="eastAsia"/>
          <w:sz w:val="24"/>
          <w:szCs w:val="24"/>
          <w:lang w:val="en-US" w:eastAsia="zh-Hans"/>
        </w:rPr>
        <w:t>列只包括国家级引导基金持股样本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6：</w:t>
      </w:r>
      <w:r>
        <w:rPr>
          <w:rFonts w:hint="eastAsia"/>
          <w:sz w:val="24"/>
          <w:szCs w:val="22"/>
          <w:lang w:val="en-US" w:eastAsia="zh-Hans"/>
        </w:rPr>
        <w:t>大股东与同省效应</w:t>
      </w:r>
    </w:p>
    <w:p>
      <w:pPr>
        <w:jc w:val="left"/>
        <w:rPr>
          <w:rFonts w:hint="default"/>
          <w:lang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1524"/>
        <w:gridCol w:w="1784"/>
        <w:gridCol w:w="1646"/>
        <w:gridCol w:w="1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Minority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Minority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Same Province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Same Province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-0.0455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-0.0394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-0.0724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(-0.9848)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(-0.8211)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(-1.5244)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(-0.5197)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-0.133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-0.0974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-0.104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-0.123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(-2.7382)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(-2.0191)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(-2.1320)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(-2.5720)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-0.429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-0.479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-0.483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-0.430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(-3.3757)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(-3.7571)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(-3.8036)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(-3.3773)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0.0163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0.00817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0.0208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(1.9172)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(0.7302)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(1.7975)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(1.3774)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0.00608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-0.00136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0.0321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(0.4265)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(-0.0760)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(1.7049)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(-1.0281)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-0.0316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-0.0186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-0.0533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-0.0182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(-3.0829)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(-1.0138)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(-3.3622)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(-1.6851)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0.0871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0.0218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0.0664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0.0803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(2.0672)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(0.3397)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(1.0724)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(1.8942)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15392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15264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15246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15410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0.198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0.193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0.196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jc w:val="left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eastAsia="宋体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</w:rPr>
        <w:t>(1)</w:t>
      </w:r>
      <w:r>
        <w:rPr>
          <w:rFonts w:hint="eastAsia"/>
          <w:sz w:val="24"/>
          <w:szCs w:val="24"/>
          <w:lang w:val="en-US" w:eastAsia="zh-Hans"/>
        </w:rPr>
        <w:t>列只包括引导基金为大股东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前五大股东</w:t>
      </w:r>
      <w:r>
        <w:rPr>
          <w:rFonts w:hint="default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Hans"/>
        </w:rPr>
        <w:t>的样本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Hans"/>
        </w:rPr>
        <w:t>列只包括引导基金为小股东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非前五大股东</w:t>
      </w:r>
      <w:r>
        <w:rPr>
          <w:rFonts w:hint="default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Hans"/>
        </w:rPr>
        <w:t>的样本</w:t>
      </w:r>
    </w:p>
    <w:p>
      <w:pPr>
        <w:numPr>
          <w:ilvl w:val="0"/>
          <w:numId w:val="0"/>
        </w:numPr>
        <w:jc w:val="left"/>
        <w:rPr>
          <w:rFonts w:hint="default" w:eastAsia="宋体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3</w:t>
      </w:r>
      <w:r>
        <w:rPr>
          <w:rFonts w:hint="default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Hans"/>
        </w:rPr>
        <w:t>列只包括引导基金与被投资企业同省的样本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4</w:t>
      </w:r>
      <w:r>
        <w:rPr>
          <w:rFonts w:hint="default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Hans"/>
        </w:rPr>
        <w:t>列只包括引导基金与被投资企业不同省的样本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进一步检验</w:t>
      </w:r>
    </w:p>
    <w:p>
      <w:pPr>
        <w:jc w:val="left"/>
        <w:rPr>
          <w:rFonts w:hint="default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7：</w:t>
      </w:r>
      <w:r>
        <w:rPr>
          <w:rFonts w:hint="eastAsia"/>
          <w:sz w:val="24"/>
          <w:szCs w:val="22"/>
          <w:lang w:val="en-US" w:eastAsia="zh-Hans"/>
        </w:rPr>
        <w:t>公司治理水平分组回归</w:t>
      </w:r>
    </w:p>
    <w:p>
      <w:pPr>
        <w:jc w:val="left"/>
        <w:rPr>
          <w:rFonts w:hint="default"/>
          <w:lang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1523"/>
        <w:gridCol w:w="1477"/>
        <w:gridCol w:w="1554"/>
        <w:gridCol w:w="1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CG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CG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CG (Control)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CG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0.0482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-0.0204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0.0451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-0.152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(3.3915)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(-1.0853)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(0.7544)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(-2.1844)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0.0186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0.0297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-0.148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(6.1966)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(6.6095)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(-2.6677)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(-1.6209)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-0.168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-0.674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(11.7588)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(12.5116)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(-1.0732)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(-3.2920)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0.00859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0.0309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0.00307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0.0264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(0.9458)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(2.7598)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(0.3544)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(2.4214)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-0.0420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0.0342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-0.0250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0.0430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(-2.8838)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(1.7812)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(-1.7935)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(2.3320)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-0.0102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-0.0282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-0.0159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-0.0531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(-0.9556)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(-1.6888)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(-1.5018)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(-3.0921)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0.202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-0.0865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0.146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-0.0573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(4.8754)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(-1.2370)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(3.6474)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(-0.8569)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7821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7821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7811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0.0860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0.0857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0.205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  <w:lang w:val="en-US" w:eastAsia="zh-Hans"/>
        </w:rPr>
        <w:t>这里把公司治理综合得分在前</w:t>
      </w:r>
      <w:r>
        <w:rPr>
          <w:rFonts w:hint="default"/>
          <w:sz w:val="24"/>
          <w:szCs w:val="24"/>
          <w:lang w:eastAsia="zh-Hans"/>
        </w:rPr>
        <w:t>50%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High </w:t>
      </w:r>
      <w:r>
        <w:rPr>
          <w:rFonts w:hint="eastAsia" w:cs="Times New Roman"/>
          <w:kern w:val="0"/>
          <w:sz w:val="24"/>
          <w:szCs w:val="24"/>
          <w:lang w:val="en-US" w:eastAsia="zh-Hans" w:bidi="ar"/>
        </w:rPr>
        <w:t>CG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后</w:t>
      </w:r>
      <w:r>
        <w:rPr>
          <w:rFonts w:hint="default"/>
          <w:sz w:val="24"/>
          <w:szCs w:val="24"/>
          <w:lang w:eastAsia="zh-Hans"/>
        </w:rPr>
        <w:t>50%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Low </w:t>
      </w:r>
      <w:r>
        <w:rPr>
          <w:rFonts w:hint="eastAsia" w:cs="Times New Roman"/>
          <w:kern w:val="0"/>
          <w:sz w:val="24"/>
          <w:szCs w:val="24"/>
          <w:lang w:val="en-US" w:eastAsia="zh-Hans" w:bidi="ar"/>
        </w:rPr>
        <w:t>CG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分别回归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8</w:t>
      </w:r>
      <w:r>
        <w:rPr>
          <w:rFonts w:hint="default"/>
          <w:sz w:val="24"/>
          <w:szCs w:val="22"/>
          <w:lang w:eastAsia="zh-Hans"/>
        </w:rPr>
        <w:t>：</w:t>
      </w:r>
      <w:r>
        <w:rPr>
          <w:rFonts w:hint="eastAsia"/>
          <w:sz w:val="24"/>
          <w:szCs w:val="22"/>
          <w:lang w:val="en-US" w:eastAsia="zh-Hans"/>
        </w:rPr>
        <w:t>机构投资者持股比例分组回归</w:t>
      </w:r>
    </w:p>
    <w:p>
      <w:pPr>
        <w:jc w:val="left"/>
        <w:rPr>
          <w:rFonts w:hint="default"/>
          <w:lang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1514"/>
        <w:gridCol w:w="1477"/>
        <w:gridCol w:w="1615"/>
        <w:gridCol w:w="1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Ins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Ins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Ins (Control)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Ins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-0.0125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0.0534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-0.0273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(-0.7910)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(2.9087)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(-0.4372)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(-0.9014)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0.0120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0.0318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(2.9887)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(9.7181)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(-2.6781)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(-1.5731)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0.162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-0.138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-0.651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(14.0143)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(9.8812)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(-0.7638)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(-3.3860)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0.0214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0.00931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0.0147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(2.2104)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(0.7433)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(1.5843)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(0.4463)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0.0227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-0.0436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0.0229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(1.4009)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(-2.3435)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(1.4813)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(-1.4733)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-0.0108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-0.0210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-0.0143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(-0.9839)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(-0.8288)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(-1.2910)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(-0.9222)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-0.0988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0.281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-0.0684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0.207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(-1.7968)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(5.1940)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(-1.3032)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(3.9785)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7820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7821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7820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0.0800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0.0878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0.197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这里把机构投资者持股比例在前</w:t>
      </w:r>
      <w:r>
        <w:rPr>
          <w:rFonts w:hint="default"/>
          <w:sz w:val="24"/>
          <w:szCs w:val="24"/>
          <w:lang w:eastAsia="zh-Hans"/>
        </w:rPr>
        <w:t>50%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High </w:t>
      </w:r>
      <w:r>
        <w:rPr>
          <w:rFonts w:hint="eastAsia" w:cs="Times New Roman"/>
          <w:kern w:val="0"/>
          <w:sz w:val="24"/>
          <w:szCs w:val="24"/>
          <w:lang w:val="en-US" w:eastAsia="zh-Hans" w:bidi="ar"/>
        </w:rPr>
        <w:t>Ins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后</w:t>
      </w:r>
      <w:r>
        <w:rPr>
          <w:rFonts w:hint="default"/>
          <w:sz w:val="24"/>
          <w:szCs w:val="24"/>
          <w:lang w:eastAsia="zh-Hans"/>
        </w:rPr>
        <w:t>50%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Low </w:t>
      </w:r>
      <w:r>
        <w:rPr>
          <w:rFonts w:hint="eastAsia" w:cs="Times New Roman"/>
          <w:kern w:val="0"/>
          <w:sz w:val="24"/>
          <w:szCs w:val="24"/>
          <w:lang w:val="en-US" w:eastAsia="zh-Hans" w:bidi="ar"/>
        </w:rPr>
        <w:t>Ins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分别回归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9</w:t>
      </w:r>
      <w:r>
        <w:rPr>
          <w:rFonts w:hint="default"/>
          <w:sz w:val="24"/>
          <w:szCs w:val="22"/>
          <w:lang w:eastAsia="zh-Hans"/>
        </w:rPr>
        <w:t>：</w:t>
      </w:r>
      <w:r>
        <w:rPr>
          <w:rFonts w:hint="eastAsia"/>
          <w:sz w:val="24"/>
          <w:szCs w:val="22"/>
          <w:lang w:val="en-US" w:eastAsia="zh-Hans"/>
        </w:rPr>
        <w:t>公司地区金融化水平分组回归</w:t>
      </w:r>
    </w:p>
    <w:p>
      <w:pPr>
        <w:jc w:val="left"/>
        <w:rPr>
          <w:rFonts w:hint="default"/>
          <w:lang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3"/>
        <w:gridCol w:w="1538"/>
        <w:gridCol w:w="1569"/>
        <w:gridCol w:w="1630"/>
        <w:gridCol w:w="17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Finance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Finance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Finance (Control)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Finance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-0.00308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0.0338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0.0535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-0.119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(-0.1626)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(2.3171)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(0.7253)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(-1.9762)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0.0160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0.0269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-0.0957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-0.173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(3.7070)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(8.3039)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(-1.1415)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(-2.9437)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0.124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0.127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-0.0352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-0.733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(10.0728)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(13.7016)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(-0.1644)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(-4.5310)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0.0106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-0.00631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(0.9004)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(2.7549)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(-0.5387)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(2.9238)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0.0132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-0.0244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0.0104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(0.6815)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(-1.6374)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(0.5484)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(-0.1823)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-0.0218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-0.0155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-0.0214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-0.0248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(-1.4536)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(-1.2933)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(-1.2437)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(-2.1590)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</w:t>
            </w:r>
            <w:r>
              <w:rPr>
                <w:rFonts w:hint="default" w:ascii="Times New Roman Regular" w:hAnsi="Times New Roman Regular" w:cs="Times New Roman Regular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-0.0458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0.182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-0.0418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0.123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(-0.7181)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(3.9914)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(-0.6739)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(2.8376)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6389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9250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6368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9247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0.0568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0.102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0.169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0.222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10</w:t>
      </w:r>
      <w:r>
        <w:rPr>
          <w:rFonts w:hint="default"/>
          <w:sz w:val="24"/>
          <w:szCs w:val="22"/>
          <w:lang w:eastAsia="zh-Hans"/>
        </w:rPr>
        <w:t>：</w:t>
      </w:r>
      <w:r>
        <w:rPr>
          <w:rFonts w:hint="eastAsia"/>
          <w:sz w:val="24"/>
          <w:szCs w:val="22"/>
          <w:lang w:val="en-US" w:eastAsia="zh-Hans"/>
        </w:rPr>
        <w:t>研发强度分组回归</w:t>
      </w:r>
    </w:p>
    <w:p>
      <w:pPr>
        <w:jc w:val="left"/>
        <w:rPr>
          <w:rFonts w:hint="default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1508"/>
        <w:gridCol w:w="1446"/>
        <w:gridCol w:w="1738"/>
        <w:gridCol w:w="1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R&amp;D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R&amp;D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R&amp;D (Control)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R&amp;D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0.0355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0.00325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0.0136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(2.7366)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(0.1705)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(0.2351)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(-1.4846)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0.0151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0.0376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0.00884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-0.220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(5.9006)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(7.4641)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(0.1738)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(-2.4076)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0.143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-0.373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-0.533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(12.2777)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(11.3925)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(-2.3307)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(-2.6698)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0.0133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0.0303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0.00489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(1.7392)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(2.4367)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(0.6667)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(2.1666)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-0.0299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0.00931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-0.0143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(-2.2553)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(0.4778)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(-1.1208)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(1.1333)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-0.0268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-0.00903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-0.0243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(-2.7318)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(-0.5442)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(-2.5190)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(-1.6296)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0.171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0.0526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0.0833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(3.9413)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(0.8878)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(1.9834)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(0.7818)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7816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7824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7810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7821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0.0837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0.0887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0.201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0.214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这里把公司研发强度在前</w:t>
      </w:r>
      <w:r>
        <w:rPr>
          <w:rFonts w:hint="default"/>
          <w:sz w:val="24"/>
          <w:szCs w:val="24"/>
          <w:lang w:eastAsia="zh-Hans"/>
        </w:rPr>
        <w:t>5</w:t>
      </w:r>
      <w:r>
        <w:rPr>
          <w:rFonts w:hint="default"/>
          <w:sz w:val="24"/>
          <w:szCs w:val="24"/>
          <w:lang w:eastAsia="zh-Hans"/>
        </w:rPr>
        <w:t>0</w:t>
      </w:r>
      <w:r>
        <w:rPr>
          <w:rFonts w:hint="default"/>
          <w:sz w:val="24"/>
          <w:szCs w:val="24"/>
          <w:lang w:eastAsia="zh-Hans"/>
        </w:rPr>
        <w:t>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High </w:t>
      </w:r>
      <w:r>
        <w:rPr>
          <w:rFonts w:hint="eastAsia" w:cs="Times New Roman"/>
          <w:kern w:val="0"/>
          <w:sz w:val="24"/>
          <w:szCs w:val="24"/>
          <w:lang w:val="en-US" w:eastAsia="zh-Hans" w:bidi="ar"/>
        </w:rPr>
        <w:t>R</w:t>
      </w:r>
      <w:r>
        <w:rPr>
          <w:rFonts w:hint="default" w:cs="Times New Roman"/>
          <w:kern w:val="0"/>
          <w:sz w:val="24"/>
          <w:szCs w:val="24"/>
          <w:lang w:eastAsia="zh-Hans" w:bidi="ar"/>
        </w:rPr>
        <w:t>&amp;</w:t>
      </w:r>
      <w:r>
        <w:rPr>
          <w:rFonts w:hint="eastAsia" w:cs="Times New Roman"/>
          <w:kern w:val="0"/>
          <w:sz w:val="24"/>
          <w:szCs w:val="24"/>
          <w:lang w:val="en-US" w:eastAsia="zh-Hans" w:bidi="ar"/>
        </w:rPr>
        <w:t>D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后</w:t>
      </w:r>
      <w:r>
        <w:rPr>
          <w:rFonts w:hint="default"/>
          <w:sz w:val="24"/>
          <w:szCs w:val="24"/>
          <w:lang w:eastAsia="zh-Hans"/>
        </w:rPr>
        <w:t>5</w:t>
      </w:r>
      <w:r>
        <w:rPr>
          <w:rFonts w:hint="default"/>
          <w:sz w:val="24"/>
          <w:szCs w:val="24"/>
          <w:lang w:eastAsia="zh-Hans"/>
        </w:rPr>
        <w:t>0</w:t>
      </w:r>
      <w:r>
        <w:rPr>
          <w:rFonts w:hint="default"/>
          <w:sz w:val="24"/>
          <w:szCs w:val="24"/>
          <w:lang w:eastAsia="zh-Hans"/>
        </w:rPr>
        <w:t>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Low </w:t>
      </w:r>
      <w:r>
        <w:rPr>
          <w:rFonts w:hint="eastAsia" w:cs="Times New Roman"/>
          <w:kern w:val="0"/>
          <w:sz w:val="24"/>
          <w:szCs w:val="24"/>
          <w:lang w:val="en-US" w:eastAsia="zh-Hans" w:bidi="ar"/>
        </w:rPr>
        <w:t>R&amp;D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分别回归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sz w:val="24"/>
          <w:szCs w:val="22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11</w:t>
      </w:r>
      <w:r>
        <w:rPr>
          <w:rFonts w:hint="default"/>
          <w:sz w:val="24"/>
          <w:szCs w:val="22"/>
          <w:lang w:eastAsia="zh-Hans"/>
        </w:rPr>
        <w:t>：</w:t>
      </w:r>
      <w:r>
        <w:rPr>
          <w:rFonts w:hint="eastAsia"/>
          <w:sz w:val="24"/>
          <w:szCs w:val="22"/>
          <w:lang w:val="en-US" w:eastAsia="zh-Hans"/>
        </w:rPr>
        <w:t>公司战略分组回归</w:t>
      </w:r>
    </w:p>
    <w:p>
      <w:pPr>
        <w:jc w:val="left"/>
        <w:rPr>
          <w:rFonts w:hint="default"/>
          <w:lang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2"/>
        <w:gridCol w:w="1615"/>
        <w:gridCol w:w="1600"/>
        <w:gridCol w:w="1646"/>
        <w:gridCol w:w="1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Strategy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Strategy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Strategy (Control)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Strategy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0.0487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-0.00436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-0.0126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-0.0668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(2.7340)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(-0.1350)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(-0.1780)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(-0.5792)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0.0342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-0.0000704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(5.9087)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(4.1979)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(-0.0008)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(-1.3361)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0.142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0.187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-0.710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(12.9811)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(8.5422)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(-3.6432)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(-0.7635)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0.0123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0.0317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-0.000577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(1.0727)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(1.6263)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(-0.0519)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(0.8223)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-0.0400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0.0210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-0.0254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(-2.1984)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(0.6388)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(-1.4529)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(0.7679)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0.0125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-0.0445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0.00610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-0.0414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(0.6849)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(-2.5331)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(0.3316)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(-2.2878)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</w:t>
            </w:r>
            <w:r>
              <w:rPr>
                <w:rFonts w:hint="default" w:ascii="Times New Roman Regular" w:hAnsi="Times New Roman Regular" w:cs="Times New Roman Regular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0.174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0.0864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0.114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(3.0240)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(0.7606)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(2.0470)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(1.1193)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9070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2298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9070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0.0854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0.122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0.195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0.312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这里把公司战略得分在前</w:t>
      </w:r>
      <w:r>
        <w:rPr>
          <w:rFonts w:hint="default"/>
          <w:sz w:val="24"/>
          <w:szCs w:val="24"/>
          <w:lang w:eastAsia="zh-Hans"/>
        </w:rPr>
        <w:t>25%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>High Strategy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后</w:t>
      </w:r>
      <w:r>
        <w:rPr>
          <w:rFonts w:hint="default"/>
          <w:sz w:val="24"/>
          <w:szCs w:val="24"/>
          <w:lang w:eastAsia="zh-Hans"/>
        </w:rPr>
        <w:t>75%</w:t>
      </w:r>
      <w:r>
        <w:rPr>
          <w:rFonts w:hint="eastAsia"/>
          <w:sz w:val="24"/>
          <w:szCs w:val="24"/>
          <w:lang w:val="en-US" w:eastAsia="zh-Hans"/>
        </w:rPr>
        <w:t>的公司定义为</w:t>
      </w:r>
      <w:r>
        <w:rPr>
          <w:rFonts w:ascii="Times New Roman" w:hAnsi="Times New Roman" w:cs="Times New Roman"/>
          <w:kern w:val="0"/>
          <w:sz w:val="24"/>
          <w:szCs w:val="24"/>
          <w:lang w:val="en-US" w:eastAsia="zh-CN" w:bidi="ar"/>
        </w:rPr>
        <w:t>Low Strategy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分别回归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default"/>
          <w:lang w:val="en-US" w:eastAsia="zh-Hans"/>
        </w:rPr>
      </w:pP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稳健性检验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12</w:t>
      </w:r>
      <w:r>
        <w:rPr>
          <w:rFonts w:hint="default"/>
          <w:sz w:val="24"/>
          <w:szCs w:val="22"/>
          <w:lang w:eastAsia="zh-Hans"/>
        </w:rPr>
        <w:t>：</w:t>
      </w:r>
      <w:r>
        <w:rPr>
          <w:rFonts w:hint="eastAsia"/>
          <w:sz w:val="24"/>
          <w:szCs w:val="22"/>
          <w:lang w:val="en-US" w:eastAsia="zh-Hans"/>
        </w:rPr>
        <w:t>持股比例代替是否持股</w:t>
      </w:r>
    </w:p>
    <w:tbl>
      <w:tblPr>
        <w:tblStyle w:val="3"/>
        <w:tblpPr w:leftFromText="180" w:rightFromText="180" w:vertAnchor="text" w:horzAnchor="page" w:tblpX="2014" w:tblpY="21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78"/>
        <w:gridCol w:w="1909"/>
        <w:gridCol w:w="1785"/>
        <w:gridCol w:w="1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(2)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lang w:eastAsia="zh-CN" w:bidi="ar"/>
              </w:rPr>
              <w:t>EPS / P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lang w:eastAsia="zh-CN" w:bidi="ar"/>
              </w:rPr>
              <w:t>EPS / P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lang w:eastAsia="zh-CN" w:bidi="ar"/>
              </w:rPr>
              <w:t>EPS / 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DR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0.00952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-0.0661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-0.0373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(3.8760)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(-1.5523)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(-0.8756)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Ret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0.0225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-0.121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(8.7397)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(-2.5624)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(-2.6000)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Ret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0.127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-0.406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-0.436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(17.1555)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(-3.2286)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(-3.4641)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HoldRatio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0.00218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0.00132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(1.8186)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(1.1668)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(1.3607)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HoldRatio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eastAsia" w:ascii="Times New Roman Regular" w:hAnsi="Times New Roman Regular" w:cs="Times New Roman Regular"/>
                <w:lang w:val="en-US" w:eastAsia="zh-Hans"/>
              </w:rPr>
              <w:t>DR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0.00249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0.00126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0.000551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(1.2527)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(0.6683)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(0.2929)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HoldRatio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eastAsia" w:ascii="Times New Roman Regular" w:hAnsi="Times New Roman Regular" w:cs="Times New Roman Regular"/>
                <w:lang w:val="en-US" w:eastAsia="zh-Hans"/>
              </w:rPr>
              <w:t>Ret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-0.00288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-0.00395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-0.00388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(-1.9223)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(-2.7322)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(-2.6948)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HoldRatio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Ret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lang w:val="en-US" w:eastAsia="zh-CN" w:bidi="ar"/>
              </w:rPr>
              <w:t>0.0163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lang w:val="en-US" w:eastAsia="zh-CN" w:bidi="ar"/>
              </w:rPr>
              <w:t>0.0130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lang w:val="en-US" w:eastAsia="zh-CN" w:bidi="ar"/>
              </w:rPr>
              <w:t>0.0117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lang w:val="en-US" w:eastAsia="zh-CN" w:bidi="ar"/>
              </w:rPr>
              <w:t>(2.7925)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lang w:val="en-US" w:eastAsia="zh-CN" w:bidi="ar"/>
              </w:rPr>
              <w:t>(2.3579)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lang w:val="en-US" w:eastAsia="zh-CN" w:bidi="ar"/>
              </w:rPr>
              <w:t>(2.1086)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Control Variables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Industry FE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Year FE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Province FE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Industry</w:t>
            </w:r>
            <w:r>
              <w:rPr>
                <w:rFonts w:hint="default" w:cs="Times New Roman"/>
                <w:kern w:val="0"/>
                <w:sz w:val="24"/>
                <w:szCs w:val="24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Year FE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Province</w:t>
            </w:r>
            <w:r>
              <w:rPr>
                <w:rFonts w:hint="default" w:cs="Times New Roman"/>
                <w:kern w:val="0"/>
                <w:sz w:val="24"/>
                <w:szCs w:val="24"/>
                <w:lang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Year FE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Obs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15642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15642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15638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adjusted-R2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0.0800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0.181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0.196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  <w:lang w:eastAsia="zh-Hans"/>
        </w:rPr>
        <w:t xml:space="preserve"> 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00" w:firstLineChars="10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sz w:val="24"/>
          <w:szCs w:val="22"/>
          <w:lang w:eastAsia="zh-Hans"/>
        </w:rPr>
      </w:pPr>
      <w:r>
        <w:rPr>
          <w:rFonts w:hint="eastAsia"/>
          <w:sz w:val="24"/>
          <w:szCs w:val="22"/>
          <w:lang w:val="en-US" w:eastAsia="zh-Hans"/>
        </w:rPr>
        <w:t>表</w:t>
      </w:r>
      <w:r>
        <w:rPr>
          <w:rFonts w:hint="default"/>
          <w:sz w:val="24"/>
          <w:szCs w:val="22"/>
          <w:lang w:eastAsia="zh-Hans"/>
        </w:rPr>
        <w:t>13</w:t>
      </w:r>
      <w:r>
        <w:rPr>
          <w:rFonts w:hint="default"/>
          <w:sz w:val="24"/>
          <w:szCs w:val="22"/>
          <w:lang w:eastAsia="zh-Hans"/>
        </w:rPr>
        <w:t>：</w:t>
      </w:r>
      <w:r>
        <w:rPr>
          <w:rFonts w:hint="eastAsia"/>
          <w:sz w:val="24"/>
          <w:szCs w:val="22"/>
          <w:lang w:val="en-US" w:eastAsia="zh-Hans"/>
        </w:rPr>
        <w:t>PSM-DID回归</w:t>
      </w:r>
    </w:p>
    <w:tbl>
      <w:tblPr>
        <w:tblW w:w="0" w:type="auto"/>
        <w:tblInd w:w="-1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6"/>
        <w:gridCol w:w="1108"/>
        <w:gridCol w:w="1323"/>
        <w:gridCol w:w="1123"/>
        <w:gridCol w:w="1124"/>
        <w:gridCol w:w="1231"/>
      </w:tblGrid>
      <w:tr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EPS / P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EPS / P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EPS / P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EPS / P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cs="Times New Roman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EPS / P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-0.138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0.0947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0.130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(2.1313)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(-1.4746)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(1.7604)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(1.3260)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(2.0806)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0.0119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0.199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0.0177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0.0229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0.0136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(1.5958)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(6.7921)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(1.9992)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(0.7202)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(1.6853)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-0.125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0.0442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-0.147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-0.0144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-0.132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(-5.2081)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(1.5510)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(-5.1502)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(-0.5196)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(-5.0752)</w:t>
            </w:r>
          </w:p>
        </w:tc>
      </w:tr>
      <w:tr>
        <w:tblPrEx>
          <w:shd w:val="clear"/>
        </w:tblPrEx>
        <w:trPr>
          <w:trHeight w:val="286" w:hRule="atLeast"/>
        </w:trPr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-0.0565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0.0851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-0.0754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rPr>
          <w:trHeight w:val="286" w:hRule="atLeast"/>
        </w:trPr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(-2.1690)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(3.2313)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(-2.7628)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0.00534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(2.9890)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(0.1330)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(2.9714)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0.0146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-0.183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0.0261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(0.4523)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(-5.6061)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(0.7383)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>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-0.0675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0.587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-0.0736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(-0.7403)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(4.4972)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(-0.7354)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Treat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-0.149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0.0500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-0.123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(-5.1845)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(2.0779)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(-4.7975)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Treat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0.0521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0.170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(4.5719)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(1.4169)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(4.4908)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Treat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-0.0218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0.174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(7.1073)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(-0.6327)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(6.8949)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Treat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>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-0.267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0.308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-0.243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(-2.3282)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(2.9106)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(-2.3346)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Treat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0.163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(4.5574)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Treat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DR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-0.126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Times New Roman" w:hAnsi="Times New Roman" w:eastAsia="宋体" w:cs="Times New Roman"/>
                <w:kern w:val="2"/>
                <w:sz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(-2.2613)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Treat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-0.195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(-4.2247)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Treat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 Regular" w:hAnsi="Times New Roman Regular" w:cs="Times New Roman Regular"/>
              </w:rPr>
              <w:t xml:space="preserve"> × </w:t>
            </w:r>
            <w:r>
              <w:rPr>
                <w:rFonts w:hint="default" w:ascii="Times New Roman Regular" w:hAnsi="Times New Roman Regular" w:cs="Times New Roman Regular"/>
              </w:rPr>
              <w:t>Ret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0.524</w:t>
            </w: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 Bold" w:hAnsi="Times New Roman Bold" w:cs="Times New Roman Bold"/>
                <w:b/>
                <w:bCs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(3.3423)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0.0816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-0.0254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0.0258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0.0961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(5.0995)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(-1.3051)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(5.5376)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(1.3674)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(5.5292)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575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571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629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515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1146</w:t>
            </w:r>
          </w:p>
        </w:tc>
      </w:tr>
      <w:tr>
        <w:tblPrEx>
          <w:shd w:val="clear"/>
        </w:tblPrEx>
        <w:tc>
          <w:tcPr>
            <w:tcW w:w="2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0.199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0.258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0.194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0.207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0.193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tbl>
      <w:tblPr>
        <w:tblStyle w:val="4"/>
        <w:tblW w:w="8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00"/>
        <w:gridCol w:w="1938"/>
        <w:gridCol w:w="194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2" w:hRule="atLeast"/>
        </w:trPr>
        <w:tc>
          <w:tcPr>
            <w:tcW w:w="260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事件前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</w:t>
            </w:r>
          </w:p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Post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= 0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事件后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</w:t>
            </w:r>
          </w:p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Post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= 1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2" w:hRule="atLeast"/>
        </w:trPr>
        <w:tc>
          <w:tcPr>
            <w:tcW w:w="260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处理组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</w:t>
            </w:r>
          </w:p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Treat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= 1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301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270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260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对照组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</w:t>
            </w:r>
          </w:p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Treat</w:t>
            </w: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 xml:space="preserve"> = 0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329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246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atLeast"/>
        </w:trPr>
        <w:tc>
          <w:tcPr>
            <w:tcW w:w="260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Hans"/>
              </w:rPr>
              <w:t>总数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630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516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2"/>
                <w:vertAlign w:val="baseline"/>
                <w:lang w:eastAsia="zh-Hans"/>
              </w:rPr>
              <w:t>1146</w:t>
            </w:r>
          </w:p>
        </w:tc>
      </w:tr>
    </w:tbl>
    <w:p>
      <w:pPr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PSM匹配方法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首先筛选引导基金持股的公司样本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引导基金为前五大股东或持股比例在</w:t>
      </w:r>
      <w:r>
        <w:rPr>
          <w:rFonts w:hint="default"/>
          <w:sz w:val="24"/>
          <w:szCs w:val="24"/>
          <w:lang w:eastAsia="zh-Hans"/>
        </w:rPr>
        <w:t>5%</w:t>
      </w:r>
      <w:r>
        <w:rPr>
          <w:rFonts w:hint="eastAsia"/>
          <w:sz w:val="24"/>
          <w:szCs w:val="24"/>
          <w:lang w:val="en-US" w:eastAsia="zh-Hans"/>
        </w:rPr>
        <w:t>以上</w:t>
      </w:r>
      <w:r>
        <w:rPr>
          <w:rFonts w:hint="default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设置事件时间窗口为</w:t>
      </w:r>
      <w:r>
        <w:rPr>
          <w:rFonts w:hint="default"/>
          <w:sz w:val="24"/>
          <w:szCs w:val="24"/>
          <w:lang w:eastAsia="zh-Hans"/>
        </w:rPr>
        <w:t>[-3, 2]，</w:t>
      </w:r>
      <w:r>
        <w:rPr>
          <w:rFonts w:hint="eastAsia"/>
          <w:sz w:val="24"/>
          <w:szCs w:val="24"/>
          <w:lang w:val="en-US" w:eastAsia="zh-Hans"/>
        </w:rPr>
        <w:t>即引导基金进入公司的前三年至后二年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收集被持股公司在时间窗口内的所有样本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并要求在</w:t>
      </w:r>
      <w:r>
        <w:rPr>
          <w:rFonts w:hint="default"/>
          <w:sz w:val="24"/>
          <w:szCs w:val="24"/>
          <w:lang w:eastAsia="zh-Hans"/>
        </w:rPr>
        <w:t>[-3, -1]</w:t>
      </w:r>
      <w:r>
        <w:rPr>
          <w:rFonts w:hint="eastAsia"/>
          <w:sz w:val="24"/>
          <w:szCs w:val="24"/>
          <w:lang w:val="en-US" w:eastAsia="zh-Hans"/>
        </w:rPr>
        <w:t>和</w:t>
      </w:r>
      <w:r>
        <w:rPr>
          <w:rFonts w:hint="default"/>
          <w:sz w:val="24"/>
          <w:szCs w:val="24"/>
          <w:lang w:eastAsia="zh-Hans"/>
        </w:rPr>
        <w:t>[0, 2]</w:t>
      </w:r>
      <w:r>
        <w:rPr>
          <w:rFonts w:hint="eastAsia"/>
          <w:sz w:val="24"/>
          <w:szCs w:val="24"/>
          <w:lang w:val="en-US" w:eastAsia="zh-Hans"/>
        </w:rPr>
        <w:t>内都至少有一个样本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根据</w:t>
      </w:r>
      <w:r>
        <w:rPr>
          <w:rFonts w:hint="default"/>
          <w:sz w:val="24"/>
          <w:szCs w:val="24"/>
          <w:lang w:eastAsia="zh-Hans"/>
        </w:rPr>
        <w:t>1，</w:t>
      </w:r>
      <w:r>
        <w:rPr>
          <w:rFonts w:hint="eastAsia"/>
          <w:sz w:val="24"/>
          <w:szCs w:val="24"/>
          <w:lang w:val="en-US" w:eastAsia="zh-Hans"/>
        </w:rPr>
        <w:t>筛选得到</w:t>
      </w:r>
      <w:r>
        <w:rPr>
          <w:rFonts w:hint="default"/>
          <w:sz w:val="24"/>
          <w:szCs w:val="24"/>
          <w:lang w:eastAsia="zh-Hans"/>
        </w:rPr>
        <w:t>199</w:t>
      </w:r>
      <w:r>
        <w:rPr>
          <w:rFonts w:hint="eastAsia"/>
          <w:sz w:val="24"/>
          <w:szCs w:val="24"/>
          <w:lang w:val="en-US" w:eastAsia="zh-Hans"/>
        </w:rPr>
        <w:t>家引导基金持股公司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总共</w:t>
      </w:r>
      <w:r>
        <w:rPr>
          <w:rFonts w:hint="default"/>
          <w:sz w:val="24"/>
          <w:szCs w:val="24"/>
          <w:lang w:eastAsia="zh-Hans"/>
        </w:rPr>
        <w:t>571</w:t>
      </w:r>
      <w:r>
        <w:rPr>
          <w:rFonts w:hint="eastAsia"/>
          <w:sz w:val="24"/>
          <w:szCs w:val="24"/>
          <w:lang w:val="en-US" w:eastAsia="zh-Hans"/>
        </w:rPr>
        <w:t>个公司</w:t>
      </w:r>
      <w:r>
        <w:rPr>
          <w:rFonts w:hint="default"/>
          <w:sz w:val="24"/>
          <w:szCs w:val="24"/>
          <w:lang w:eastAsia="zh-Hans"/>
        </w:rPr>
        <w:t>-</w:t>
      </w:r>
      <w:r>
        <w:rPr>
          <w:rFonts w:hint="eastAsia"/>
          <w:sz w:val="24"/>
          <w:szCs w:val="24"/>
          <w:lang w:val="en-US" w:eastAsia="zh-Hans"/>
        </w:rPr>
        <w:t>年度样本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处理组</w:t>
      </w:r>
      <w:r>
        <w:rPr>
          <w:rFonts w:hint="default"/>
          <w:sz w:val="24"/>
          <w:szCs w:val="24"/>
          <w:lang w:eastAsia="zh-Hans"/>
        </w:rPr>
        <w:t>）。</w:t>
      </w:r>
      <w:r>
        <w:rPr>
          <w:rFonts w:hint="eastAsia"/>
          <w:sz w:val="24"/>
          <w:szCs w:val="24"/>
          <w:lang w:val="en-US" w:eastAsia="zh-Hans"/>
        </w:rPr>
        <w:t>对于这</w:t>
      </w:r>
      <w:r>
        <w:rPr>
          <w:rFonts w:hint="default"/>
          <w:sz w:val="24"/>
          <w:szCs w:val="24"/>
          <w:lang w:eastAsia="zh-Hans"/>
        </w:rPr>
        <w:t>199</w:t>
      </w:r>
      <w:r>
        <w:rPr>
          <w:rFonts w:hint="eastAsia"/>
          <w:sz w:val="24"/>
          <w:szCs w:val="24"/>
          <w:lang w:val="en-US" w:eastAsia="zh-Hans"/>
        </w:rPr>
        <w:t>家被持股的公司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匹配</w:t>
      </w:r>
      <w:r>
        <w:rPr>
          <w:rFonts w:hint="default"/>
          <w:sz w:val="24"/>
          <w:szCs w:val="24"/>
          <w:lang w:eastAsia="zh-Hans"/>
        </w:rPr>
        <w:t>199</w:t>
      </w:r>
      <w:r>
        <w:rPr>
          <w:rFonts w:hint="eastAsia"/>
          <w:sz w:val="24"/>
          <w:szCs w:val="24"/>
          <w:lang w:val="en-US" w:eastAsia="zh-Hans"/>
        </w:rPr>
        <w:t>家企业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对照组</w:t>
      </w:r>
      <w:r>
        <w:rPr>
          <w:rFonts w:hint="default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使用logit模型分年度计算第t年公司i的倾向性得分</w:t>
      </w:r>
      <m:oMath>
        <m:sSub>
          <m:sSubP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score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ascii="Times New Roman" w:hAnsi="DejaVu Math TeX Gyre"/>
          <w:i w:val="0"/>
          <w:sz w:val="24"/>
          <w:szCs w:val="24"/>
        </w:rPr>
        <w:t>，</w:t>
      </w:r>
      <w:r>
        <w:rPr>
          <w:rFonts w:hint="eastAsia" w:ascii="Times New Roman" w:hAnsi="DejaVu Math TeX Gyre"/>
          <w:i w:val="0"/>
          <w:sz w:val="24"/>
          <w:szCs w:val="24"/>
          <w:lang w:val="en-US" w:eastAsia="zh-Hans"/>
        </w:rPr>
        <w:t>公式为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kern w:val="2"/>
          <w:sz w:val="24"/>
          <w:szCs w:val="24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  <w:lang w:eastAsia="zh-Hans"/>
            </w:rPr>
            <m:t>Pr(</m:t>
          </m:r>
          <m:sSub>
            <m:sSubP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  <w:lang w:eastAsia="zh-Han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  <w:lang w:eastAsia="zh-Hans"/>
                </w:rPr>
                <m:t>D</m:t>
              </m: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  <w:lang w:eastAsia="zh-Hans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  <w:lang w:eastAsia="zh-Hans"/>
                </w:rPr>
                <m:t>i</m:t>
              </m: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  <w:lang w:eastAsia="zh-Hans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  <w:lang w:eastAsia="zh-Hans"/>
            </w:rPr>
            <m:t>=1|</m:t>
          </m:r>
          <m:r>
            <m:rPr>
              <m:sty m:val="b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  <w:lang w:eastAsia="zh-Hans"/>
            </w:rPr>
            <m:t>X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  <w:lang w:eastAsia="zh-Hans"/>
            </w:rPr>
            <m:t>) = F(</m:t>
          </m:r>
          <m:r>
            <m:rPr>
              <m:sty m:val="b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</w:rPr>
            <m:t>βX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</w:rPr>
            <m:t xml:space="preserve">) </m:t>
          </m:r>
        </m:oMath>
      </m:oMathPara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4"/>
              <w:lang w:val="en-US" w:eastAsia="zh-Hans"/>
            </w:rPr>
            <m:t>其中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  <w:lang w:eastAsia="zh-Hans"/>
            </w:rPr>
            <m:t>，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  <w:lang w:eastAsia="zh-Hans"/>
            </w:rPr>
            <m:t>F(</m:t>
          </m:r>
          <m:r>
            <m:rPr>
              <m:sty m:val="b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</w:rPr>
            <m:t>βX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</w:rPr>
            <m:t>)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</w:rPr>
            <m:t>=</m:t>
          </m:r>
          <m:sSup>
            <m:sSupPr>
              <m:ctrlPr>
                <m:rPr/>
                <w:rPr>
                  <w:rFonts w:hint="default" w:ascii="DejaVu Math TeX Gyre" w:hAnsi="DejaVu Math TeX Gyre" w:cs="Times New Roman"/>
                  <w:b w:val="0"/>
                  <w:i w:val="0"/>
                  <w:kern w:val="2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</w:rPr>
                <m:t>e</m:t>
              </m:r>
              <m:ctrlPr>
                <m:rPr/>
                <w:rPr>
                  <w:rFonts w:hint="default" w:ascii="DejaVu Math TeX Gyre" w:hAnsi="DejaVu Math TeX Gyre" w:cs="Times New Roman"/>
                  <w:b w:val="0"/>
                  <w:i w:val="0"/>
                  <w:kern w:val="2"/>
                  <w:sz w:val="24"/>
                  <w:szCs w:val="24"/>
                </w:rPr>
              </m:ctrlPr>
            </m:e>
            <m:sup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</w:rPr>
                <m:t>βX</m:t>
              </m:r>
              <m:ctrlPr>
                <m:rPr/>
                <w:rPr>
                  <w:rFonts w:hint="default" w:ascii="DejaVu Math TeX Gyre" w:hAnsi="DejaVu Math TeX Gyre" w:cs="Times New Roman"/>
                  <w:b w:val="0"/>
                  <w:i w:val="0"/>
                  <w:kern w:val="2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</w:rPr>
            <m:t xml:space="preserve"> / (1+</m:t>
          </m:r>
          <m:sSup>
            <m:sSupPr>
              <m:ctrlPr>
                <w:rPr>
                  <w:rFonts w:hint="default" w:ascii="DejaVu Math TeX Gyre" w:hAnsi="DejaVu Math TeX Gyre" w:cs="Times New Roman"/>
                  <w:b w:val="0"/>
                  <w:i w:val="0"/>
                  <w:kern w:val="2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</w:rPr>
                <m:t>e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kern w:val="2"/>
                  <w:sz w:val="24"/>
                  <w:szCs w:val="24"/>
                </w:rPr>
              </m:ctrlPr>
            </m:e>
            <m:sup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4"/>
                </w:rPr>
                <m:t>βX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kern w:val="2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4"/>
            </w:rPr>
            <m:t>)</m:t>
          </m:r>
        </m:oMath>
      </m:oMathPara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X为用来估计企业被引导基金持股概率的特征变量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，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包括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LOGMV：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公司市值的自然对数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TobinQ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：（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公司年末市值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+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公司年末负债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 xml:space="preserve">）/ 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公司年末总资产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Growth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公司上一年末营业收入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 xml:space="preserve"> / 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公司年末营业收入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ROA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公司年末利润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 xml:space="preserve"> / 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公司年末总资产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LEV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公司年末负债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 xml:space="preserve"> / 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公司年末总资产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RD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  <w:r>
        <w:rPr>
          <w:rFonts w:hint="eastAsia"/>
          <w:sz w:val="24"/>
          <w:szCs w:val="24"/>
          <w:vertAlign w:val="baseline"/>
          <w:lang w:val="en-US" w:eastAsia="zh-Hans"/>
        </w:rPr>
        <w:t>公司年末研发费用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/ </w:t>
      </w:r>
      <w:r>
        <w:rPr>
          <w:rFonts w:hint="eastAsia"/>
          <w:sz w:val="24"/>
          <w:szCs w:val="24"/>
          <w:vertAlign w:val="baseline"/>
          <w:lang w:val="en-US" w:eastAsia="zh-Hans"/>
        </w:rPr>
        <w:t>公司年末营业收入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INS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机构投资者持股比例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</w:pPr>
      <w:r>
        <m:rPr/>
        <w:rPr>
          <w:rFonts w:hint="default" w:hAnsi="DejaVu Math TeX Gyre" w:cs="Times New Roman"/>
          <w:i w:val="0"/>
          <w:kern w:val="2"/>
          <w:sz w:val="24"/>
          <w:szCs w:val="24"/>
          <w:lang w:val="en-US" w:eastAsia="zh-Hans"/>
        </w:rPr>
        <w:t>SOE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产权属性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。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国有企业为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1，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其余为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假设引导基金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进入</w:t>
      </w:r>
      <w:r>
        <w:rPr>
          <w:rFonts w:hint="eastAsia"/>
          <w:sz w:val="24"/>
          <w:szCs w:val="24"/>
          <w:lang w:val="en-US" w:eastAsia="zh-Hans"/>
        </w:rPr>
        <w:t>处理组公司</w:t>
      </w:r>
      <m:oMath>
        <m:r>
          <m:rPr>
            <m:sty m:val="p"/>
          </m:rPr>
          <w:rPr>
            <w:rFonts w:hint="default" w:ascii="DejaVu Math TeX Gyre" w:hAnsi="DejaVu Math TeX Gyre" w:cs="Times New Roman"/>
            <w:kern w:val="2"/>
            <w:sz w:val="24"/>
            <w:szCs w:val="24"/>
            <w:lang w:eastAsia="zh-Hans"/>
          </w:rPr>
          <m:t>i</m:t>
        </m:r>
      </m:oMath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的时间为</w:t>
      </w:r>
      <m:oMath>
        <m:sSub>
          <m:sSubP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t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ub>
        </m:sSub>
      </m:oMath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，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为了排除引导基金持股后对匹配造成的影响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，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因此在</w:t>
      </w:r>
      <m:oMath>
        <m:sSub>
          <m:sSubP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t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−1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4"/>
          <w:szCs w:val="24"/>
          <w:lang w:val="en-US" w:eastAsia="zh-Hans"/>
        </w:rPr>
        <w:t>年度进行匹配</w:t>
      </w:r>
      <w:r>
        <w:rPr>
          <w:rFonts w:hint="default" w:hAnsi="DejaVu Math TeX Gyre"/>
          <w:i w:val="0"/>
          <w:sz w:val="24"/>
          <w:szCs w:val="24"/>
          <w:lang w:eastAsia="zh-Hans"/>
        </w:rPr>
        <w:t>。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要求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w:rPr>
          <w:rFonts w:hint="eastAsia" w:hAnsi="DejaVu Math TeX Gyre"/>
          <w:i w:val="0"/>
          <w:sz w:val="24"/>
          <w:szCs w:val="24"/>
          <w:lang w:val="en-US" w:eastAsia="zh-Hans"/>
        </w:rPr>
      </w:pP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同年度</w:t>
      </w:r>
      <w:r>
        <m:rPr/>
        <w:rPr>
          <w:rFonts w:hint="default" w:hAnsi="DejaVu Math TeX Gyre" w:cs="Times New Roman"/>
          <w:i w:val="0"/>
          <w:kern w:val="2"/>
          <w:sz w:val="24"/>
          <w:szCs w:val="24"/>
          <w:lang w:eastAsia="zh-Hans"/>
        </w:rPr>
        <w:t>、</w:t>
      </w:r>
      <w:r>
        <m:rPr/>
        <w:rPr>
          <w:rFonts w:hint="eastAsia" w:hAnsi="DejaVu Math TeX Gyre" w:cs="Times New Roman"/>
          <w:i w:val="0"/>
          <w:kern w:val="2"/>
          <w:sz w:val="24"/>
          <w:szCs w:val="24"/>
          <w:lang w:val="en-US" w:eastAsia="zh-Hans"/>
        </w:rPr>
        <w:t>同行业匹配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公司</w:t>
      </w:r>
      <m:oMath>
        <m:r>
          <m:rPr>
            <m:sty m:val="p"/>
          </m:rPr>
          <w:rPr>
            <w:rFonts w:hint="eastAsia" w:ascii="DejaVu Math TeX Gyre" w:hAnsi="DejaVu Math TeX Gyre" w:cs="Times New Roman"/>
            <w:kern w:val="2"/>
            <w:sz w:val="24"/>
            <w:szCs w:val="24"/>
            <w:lang w:val="en-US" w:eastAsia="zh-Hans"/>
          </w:rPr>
          <m:t>j</m:t>
        </m:r>
      </m:oMath>
      <w:r>
        <m:rPr/>
        <w:rPr>
          <w:rFonts w:hint="default" w:ascii="Times New Roman" w:hAnsi="DejaVu Math TeX Gyre" w:cs="Times New Roman"/>
          <w:i w:val="0"/>
          <w:kern w:val="2"/>
          <w:sz w:val="24"/>
          <w:szCs w:val="24"/>
          <w:lang w:eastAsia="zh-Hans"/>
        </w:rPr>
        <w:t>，</w:t>
      </w:r>
      <w:r>
        <m:rPr/>
        <w:rPr>
          <w:rFonts w:hint="eastAsia" w:ascii="Times New Roman" w:hAnsi="DejaVu Math TeX Gyre" w:cs="Times New Roman"/>
          <w:i w:val="0"/>
          <w:kern w:val="2"/>
          <w:sz w:val="24"/>
          <w:szCs w:val="24"/>
          <w:lang w:val="en-US" w:eastAsia="zh-Hans"/>
        </w:rPr>
        <w:t>使得</w:t>
      </w:r>
      <w:r>
        <w:rPr>
          <w:rFonts w:hint="eastAsia" w:hAnsi="DejaVu Math TeX Gyre"/>
          <w:i w:val="0"/>
          <w:sz w:val="24"/>
          <w:szCs w:val="24"/>
          <w:lang w:val="en-US" w:eastAsia="zh-Hans"/>
        </w:rPr>
        <w:t>倾向性得分</w:t>
      </w:r>
      <m:oMath>
        <m:sSub>
          <m:sSubP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score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j,t−1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4"/>
          <w:szCs w:val="24"/>
          <w:lang w:val="en-US" w:eastAsia="zh-Hans"/>
        </w:rPr>
        <w:t>与</w:t>
      </w:r>
      <m:oMath>
        <m:sSub>
          <m:sSubP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Hans"/>
              </w:rPr>
              <m:t>score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i,t</m:t>
            </m:r>
            <m:r>
              <m:rPr/>
              <w:rPr>
                <w:rFonts w:hint="default" w:ascii="DejaVu Math TeX Gyre" w:hAnsi="DejaVu Math TeX Gyre"/>
                <w:sz w:val="24"/>
                <w:szCs w:val="24"/>
              </w:rPr>
              <m:t>−1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4"/>
          <w:szCs w:val="24"/>
          <w:lang w:val="en-US" w:eastAsia="zh-Hans"/>
        </w:rPr>
        <w:t>最接近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w:rPr>
          <w:rFonts w:hint="default" w:hAnsi="DejaVu Math TeX Gyre"/>
          <w:i w:val="0"/>
          <w:sz w:val="24"/>
          <w:szCs w:val="24"/>
          <w:lang w:eastAsia="zh-Hans"/>
        </w:rPr>
      </w:pPr>
      <w:r>
        <w:rPr>
          <w:rFonts w:hint="eastAsia" w:hAnsi="DejaVu Math TeX Gyre"/>
          <w:i w:val="0"/>
          <w:sz w:val="24"/>
          <w:szCs w:val="24"/>
          <w:lang w:val="en-US" w:eastAsia="zh-Hans"/>
        </w:rPr>
        <w:t>公司j</w:t>
      </w:r>
      <w:r>
        <w:rPr>
          <w:rFonts w:hint="eastAsia"/>
          <w:sz w:val="24"/>
          <w:szCs w:val="24"/>
          <w:lang w:val="en-US" w:eastAsia="zh-Hans"/>
        </w:rPr>
        <w:t>在事件前后的时间窗口</w:t>
      </w:r>
      <w:r>
        <w:rPr>
          <w:rFonts w:hint="default"/>
          <w:sz w:val="24"/>
          <w:szCs w:val="24"/>
          <w:lang w:eastAsia="zh-Hans"/>
        </w:rPr>
        <w:t>[-3, -1]</w:t>
      </w:r>
      <w:r>
        <w:rPr>
          <w:rFonts w:hint="eastAsia"/>
          <w:sz w:val="24"/>
          <w:szCs w:val="24"/>
          <w:lang w:val="en-US" w:eastAsia="zh-Hans"/>
        </w:rPr>
        <w:t>和</w:t>
      </w:r>
      <w:r>
        <w:rPr>
          <w:rFonts w:hint="default"/>
          <w:sz w:val="24"/>
          <w:szCs w:val="24"/>
          <w:lang w:eastAsia="zh-Hans"/>
        </w:rPr>
        <w:t>[0, 2]</w:t>
      </w:r>
      <w:r>
        <w:rPr>
          <w:rFonts w:hint="eastAsia"/>
          <w:sz w:val="24"/>
          <w:szCs w:val="24"/>
          <w:lang w:val="en-US" w:eastAsia="zh-Hans"/>
        </w:rPr>
        <w:t>内都至少有一个样本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Han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single"/>
          <w:lang w:val="en-US" w:eastAsia="zh-Hans"/>
        </w:rPr>
      </w:pPr>
      <w:r>
        <w:rPr>
          <w:rFonts w:hint="eastAsia"/>
          <w:sz w:val="24"/>
          <w:szCs w:val="24"/>
          <w:u w:val="single"/>
          <w:lang w:val="en-US" w:eastAsia="zh-Hans"/>
        </w:rPr>
        <w:t>最终</w:t>
      </w:r>
      <w:r>
        <w:rPr>
          <w:rFonts w:hint="default"/>
          <w:sz w:val="24"/>
          <w:szCs w:val="24"/>
          <w:u w:val="single"/>
          <w:lang w:eastAsia="zh-Hans"/>
        </w:rPr>
        <w:t>，</w:t>
      </w:r>
      <w:r>
        <w:rPr>
          <w:rFonts w:hint="eastAsia"/>
          <w:sz w:val="24"/>
          <w:szCs w:val="24"/>
          <w:u w:val="single"/>
          <w:lang w:val="en-US" w:eastAsia="zh-Hans"/>
        </w:rPr>
        <w:t>匹配得到</w:t>
      </w:r>
      <w:r>
        <w:rPr>
          <w:rFonts w:hint="default"/>
          <w:sz w:val="24"/>
          <w:szCs w:val="24"/>
          <w:u w:val="single"/>
          <w:lang w:eastAsia="zh-Hans"/>
        </w:rPr>
        <w:t>199</w:t>
      </w:r>
      <w:r>
        <w:rPr>
          <w:rFonts w:hint="eastAsia"/>
          <w:sz w:val="24"/>
          <w:szCs w:val="24"/>
          <w:u w:val="single"/>
          <w:lang w:val="en-US" w:eastAsia="zh-Hans"/>
        </w:rPr>
        <w:t>家对照组公司</w:t>
      </w:r>
      <w:r>
        <w:rPr>
          <w:rFonts w:hint="default"/>
          <w:sz w:val="24"/>
          <w:szCs w:val="24"/>
          <w:u w:val="single"/>
          <w:lang w:eastAsia="zh-Hans"/>
        </w:rPr>
        <w:t>，575</w:t>
      </w:r>
      <w:r>
        <w:rPr>
          <w:rFonts w:hint="eastAsia"/>
          <w:sz w:val="24"/>
          <w:szCs w:val="24"/>
          <w:u w:val="single"/>
          <w:lang w:val="en-US" w:eastAsia="zh-Hans"/>
        </w:rPr>
        <w:t>个公司</w:t>
      </w:r>
      <w:r>
        <w:rPr>
          <w:rFonts w:hint="default"/>
          <w:sz w:val="24"/>
          <w:szCs w:val="24"/>
          <w:u w:val="single"/>
          <w:lang w:eastAsia="zh-Hans"/>
        </w:rPr>
        <w:t>-</w:t>
      </w:r>
      <w:r>
        <w:rPr>
          <w:rFonts w:hint="eastAsia"/>
          <w:sz w:val="24"/>
          <w:szCs w:val="24"/>
          <w:u w:val="single"/>
          <w:lang w:val="en-US" w:eastAsia="zh-Hans"/>
        </w:rPr>
        <w:t>年度样本</w:t>
      </w:r>
    </w:p>
    <w:p>
      <w:pPr>
        <w:jc w:val="left"/>
        <w:rPr>
          <w:rFonts w:hint="default"/>
          <w:sz w:val="24"/>
          <w:szCs w:val="24"/>
          <w:lang w:eastAsia="zh-Hans"/>
        </w:rPr>
      </w:pPr>
    </w:p>
    <w:p>
      <w:pPr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9"/>
        </w:numPr>
        <w:jc w:val="left"/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(2)</w:t>
      </w:r>
      <w:r>
        <w:rPr>
          <w:rFonts w:hint="eastAsia"/>
          <w:sz w:val="24"/>
          <w:szCs w:val="24"/>
          <w:lang w:val="en-US" w:eastAsia="zh-Hans"/>
        </w:rPr>
        <w:t>列分别为对照组和处理组在事件窗口前后的会计稳健性变化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预期对照组不显著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处理组正向显著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可见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结果只有第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列为正向显著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Hans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(3)(4)</w:t>
      </w:r>
      <w:r>
        <w:rPr>
          <w:rFonts w:hint="eastAsia"/>
          <w:sz w:val="24"/>
          <w:szCs w:val="24"/>
          <w:lang w:val="en-US" w:eastAsia="zh-Hans"/>
        </w:rPr>
        <w:t>列分别为事件窗口前后全部样本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处理组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对照组</w:t>
      </w:r>
      <w:r>
        <w:rPr>
          <w:rFonts w:hint="default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Hans"/>
        </w:rPr>
        <w:t>的会计稳健性变化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相当于平行趋势检验</w:t>
      </w:r>
      <w:r>
        <w:rPr>
          <w:rFonts w:hint="default"/>
          <w:sz w:val="24"/>
          <w:szCs w:val="24"/>
          <w:lang w:eastAsia="zh-Hans"/>
        </w:rPr>
        <w:t>）。</w:t>
      </w:r>
      <w:r>
        <w:rPr>
          <w:rFonts w:hint="eastAsia"/>
          <w:sz w:val="24"/>
          <w:szCs w:val="24"/>
          <w:lang w:val="en-US" w:eastAsia="zh-Hans"/>
        </w:rPr>
        <w:t>如果匹配到的样本不存在与处理组的自选择问题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那么预期事件窗口前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处理组公司的会计稳健性应当不显著高于对照组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而事件窗口后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处理组公司的会计稳健性应该高于对照组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可见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引导基金持股前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处理组会计稳健性低于对照组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但在持股后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会计稳健性显著高于对照组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numPr>
          <w:numId w:val="0"/>
        </w:numPr>
        <w:ind w:leftChars="0"/>
        <w:jc w:val="left"/>
        <w:rPr>
          <w:rFonts w:hint="default" w:eastAsia="宋体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(5)</w:t>
      </w:r>
      <w:r>
        <w:rPr>
          <w:rFonts w:hint="eastAsia"/>
          <w:sz w:val="24"/>
          <w:szCs w:val="24"/>
          <w:lang w:val="en-US" w:eastAsia="zh-Hans"/>
        </w:rPr>
        <w:t>列为全部样本的DID检验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关注的交乘项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Post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× 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Treat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× 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DR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× Ret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在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1%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水平为显著为正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，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证明了引导基金持股显著提高了处理组的会计稳健性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 Regular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anziPen SC Regular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594B0"/>
    <w:multiLevelType w:val="singleLevel"/>
    <w:tmpl w:val="CFD594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BBF35A0"/>
    <w:multiLevelType w:val="singleLevel"/>
    <w:tmpl w:val="DBBF35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AF4C2A"/>
    <w:multiLevelType w:val="singleLevel"/>
    <w:tmpl w:val="EAAF4C2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ECBFA8"/>
    <w:multiLevelType w:val="singleLevel"/>
    <w:tmpl w:val="ECECBFA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F7DB948"/>
    <w:multiLevelType w:val="singleLevel"/>
    <w:tmpl w:val="EF7DB94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B772AFF"/>
    <w:multiLevelType w:val="singleLevel"/>
    <w:tmpl w:val="FB772AF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FFFF411C"/>
    <w:multiLevelType w:val="singleLevel"/>
    <w:tmpl w:val="FFFF411C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DFEEFEA"/>
    <w:multiLevelType w:val="singleLevel"/>
    <w:tmpl w:val="3DFEEFE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F7BF6DD"/>
    <w:multiLevelType w:val="singleLevel"/>
    <w:tmpl w:val="3F7BF6D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DF2BA1"/>
    <w:rsid w:val="F9F96B64"/>
    <w:rsid w:val="FF5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eastAsia="宋体"/>
      <w:kern w:val="0"/>
      <w:sz w:val="24"/>
      <w:szCs w:val="24"/>
      <w:lang w:val="en-US" w:eastAsia="zh-CN" w:bidi="ar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character" w:customStyle="1" w:styleId="8">
    <w:name w:val="s1"/>
    <w:basedOn w:val="5"/>
    <w:uiPriority w:val="0"/>
    <w:rPr>
      <w:rFonts w:ascii="zapf dingbats" w:hAnsi="zapf dingbats" w:eastAsia="zapf dingbats" w:cs="zapf dingbats"/>
      <w:sz w:val="24"/>
      <w:szCs w:val="24"/>
    </w:rPr>
  </w:style>
  <w:style w:type="paragraph" w:customStyle="1" w:styleId="9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20"/>
      <w:szCs w:val="20"/>
      <w:lang w:val="en-US" w:eastAsia="zh-CN" w:bidi="ar"/>
    </w:rPr>
  </w:style>
  <w:style w:type="paragraph" w:customStyle="1" w:styleId="10">
    <w:name w:val="p4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1">
    <w:name w:val="p2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2022-10-07T23:40:00Z</dcterms:created>
  <dc:creator>香酥奶油饼</dc:creator>
  <cp:lastModifiedBy>香酥奶油饼</cp:lastModifiedBy>
  <dcterms:modified xsi:type="dcterms:W3CDTF">2022-10-08T09:33:18Z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A80B3B1423E6040A6E4840636972AF74</vt:lpwstr>
  </property>
</Properties>
</file>