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lang w:val="en-US" w:eastAsia="zh-Hans"/>
        </w:rPr>
        <w:t>引导基金匹配样本的年度分布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71770" cy="2244090"/>
            <wp:effectExtent l="0" t="0" r="1143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这里可以看到引导基金持股增长最快的是</w:t>
      </w:r>
      <w:r>
        <w:rPr>
          <w:rFonts w:hint="default"/>
          <w:lang w:eastAsia="zh-Hans"/>
        </w:rPr>
        <w:t>2016～2017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直接翻倍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这符合前面对引导基金成立时间的统计</w:t>
      </w:r>
      <w:r>
        <w:rPr>
          <w:rFonts w:hint="default"/>
          <w:lang w:eastAsia="zh-Hans"/>
        </w:rPr>
        <w:t>，2016～2017</w:t>
      </w:r>
      <w:r>
        <w:rPr>
          <w:rFonts w:hint="eastAsia"/>
          <w:lang w:val="en-US" w:eastAsia="zh-Hans"/>
        </w:rPr>
        <w:t>年间成立的引导基金数量最多</w:t>
      </w:r>
    </w:p>
    <w:p>
      <w:pPr>
        <w:rPr>
          <w:rFonts w:hint="default"/>
        </w:rPr>
      </w:pPr>
    </w:p>
    <w:p>
      <w:pPr>
        <w:rPr>
          <w:rFonts w:hint="default" w:eastAsiaTheme="minor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引导基金匹配样本的行业分布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3877945"/>
            <wp:effectExtent l="0" t="0" r="8890" b="8255"/>
            <wp:docPr id="3" name="图片 3" descr="截屏2022-08-04 23.4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4 23.47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引导基金匹配样本的板块分布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创业板</w:t>
      </w:r>
      <w:r>
        <w:rPr>
          <w:rFonts w:hint="default"/>
          <w:lang w:eastAsia="zh-Hans"/>
        </w:rPr>
        <w:t xml:space="preserve">     143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沪主板</w:t>
      </w:r>
      <w:r>
        <w:rPr>
          <w:rFonts w:hint="default"/>
          <w:lang w:eastAsia="zh-Hans"/>
        </w:rPr>
        <w:t xml:space="preserve">     358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深主板</w:t>
      </w:r>
      <w:r>
        <w:rPr>
          <w:rFonts w:hint="default"/>
          <w:lang w:eastAsia="zh-Hans"/>
        </w:rPr>
        <w:t xml:space="preserve">     70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中小板</w:t>
      </w:r>
      <w:r>
        <w:rPr>
          <w:rFonts w:hint="default"/>
          <w:lang w:eastAsia="zh-Hans"/>
        </w:rPr>
        <w:t xml:space="preserve">     151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科创板</w:t>
      </w:r>
      <w:r>
        <w:rPr>
          <w:rFonts w:hint="default"/>
          <w:lang w:eastAsia="zh-Hans"/>
        </w:rPr>
        <w:t xml:space="preserve">     81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科创板成立时间并不长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股票数量也较少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但引导基金持股科创板企业并不少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915410" cy="3748405"/>
            <wp:effectExtent l="0" t="0" r="21590" b="10795"/>
            <wp:docPr id="5" name="图片 5" descr="截屏2022-08-06 10.4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8-06 10.42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在同一家上市公司持股时间越长的引导基金数量越少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引导基金行政级别与持股时长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基金级别 </w:t>
      </w:r>
      <w:r>
        <w:rPr>
          <w:rFonts w:hint="eastAsia"/>
          <w:lang w:val="en-US" w:eastAsia="zh-Hans"/>
        </w:rPr>
        <w:t>持股</w:t>
      </w:r>
      <w:r>
        <w:rPr>
          <w:rFonts w:hint="default"/>
          <w:lang w:val="en-US" w:eastAsia="zh-Hans"/>
        </w:rPr>
        <w:t xml:space="preserve">时长    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比例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 1 地市级   1年        15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40.5%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2 地市级   2~3年      15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40.5%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3 地市级   4～5年      6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16.2%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4 地市级   5年以上     1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2.7% 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 5 国家级   1年        65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46.1%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6 国家级   2~3年      48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34% 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7 国家级   4～5年     23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16.3%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8 国家级   5年以上     5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3.5% 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 9 区县级   1年         8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47.1%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10 区县级   2~3年       6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35.3%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11 区县级   4～5年      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17.6%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12 省级     1年        34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39.1%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13 省级     2~3年      29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33.3%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14 省级     4～5年     13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14.9%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15 省级     5年以上    11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12.6%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无论基金的行政级别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均很少持股一家上市公司超过三年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只持股一年是最普遍的情况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36975" cy="3501390"/>
            <wp:effectExtent l="0" t="0" r="22225" b="3810"/>
            <wp:docPr id="2" name="图片 2" descr="截屏2022-08-06 10.4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8-06 10.40.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引导基金</w:t>
      </w:r>
      <w:r>
        <w:rPr>
          <w:rFonts w:hint="eastAsia"/>
          <w:b/>
          <w:bCs/>
          <w:lang w:val="en-US" w:eastAsia="zh-Hans"/>
        </w:rPr>
        <w:t>行政级别与</w:t>
      </w:r>
      <w:r>
        <w:rPr>
          <w:rFonts w:hint="default"/>
          <w:b/>
          <w:bCs/>
        </w:rPr>
        <w:t>首次持股距</w:t>
      </w:r>
      <w:r>
        <w:rPr>
          <w:rFonts w:hint="eastAsia"/>
          <w:b/>
          <w:bCs/>
          <w:lang w:val="en-US" w:eastAsia="zh-Hans"/>
        </w:rPr>
        <w:t>公司</w:t>
      </w:r>
      <w:r>
        <w:rPr>
          <w:rFonts w:hint="default"/>
          <w:b/>
          <w:bCs/>
        </w:rPr>
        <w:t>IPO时长</w:t>
      </w:r>
    </w:p>
    <w:p>
      <w:pPr>
        <w:ind w:firstLine="210" w:firstLineChars="100"/>
        <w:rPr>
          <w:rFonts w:hint="default" w:eastAsiaTheme="minorEastAsia"/>
          <w:lang w:val="en-US" w:eastAsia="zh-Hans"/>
        </w:rPr>
      </w:pPr>
      <w:r>
        <w:rPr>
          <w:rFonts w:hint="default"/>
        </w:rPr>
        <w:t xml:space="preserve">基金级别  时长段        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比例</w:t>
      </w:r>
    </w:p>
    <w:p>
      <w:pPr>
        <w:rPr>
          <w:rFonts w:hint="default"/>
        </w:rPr>
      </w:pPr>
      <w:r>
        <w:rPr>
          <w:rFonts w:hint="default"/>
        </w:rPr>
        <w:t xml:space="preserve"> 1 地市级   10年以上     8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21.6%</w:t>
      </w:r>
    </w:p>
    <w:p>
      <w:pPr>
        <w:rPr>
          <w:rFonts w:hint="default"/>
        </w:rPr>
      </w:pPr>
      <w:r>
        <w:rPr>
          <w:rFonts w:hint="default"/>
        </w:rPr>
        <w:t xml:space="preserve"> 2 地市级   2~5年        5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13.5%</w:t>
      </w:r>
    </w:p>
    <w:p>
      <w:pPr>
        <w:rPr>
          <w:rFonts w:hint="default"/>
        </w:rPr>
      </w:pPr>
      <w:r>
        <w:rPr>
          <w:rFonts w:hint="default"/>
        </w:rPr>
        <w:t xml:space="preserve"> 3 地市级   6～10年      4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10.8%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 4 地市级   不超过1年    20 </w:t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>54.1%</w:t>
      </w:r>
    </w:p>
    <w:p>
      <w:pPr>
        <w:rPr>
          <w:rFonts w:hint="default"/>
          <w:u w:val="single"/>
        </w:rPr>
      </w:pPr>
      <w:r>
        <w:rPr>
          <w:rFonts w:hint="default"/>
        </w:rPr>
        <w:t xml:space="preserve"> </w:t>
      </w:r>
      <w:r>
        <w:rPr>
          <w:rFonts w:hint="default"/>
          <w:u w:val="single"/>
        </w:rPr>
        <w:t xml:space="preserve">5 国家级   10年以上     65 </w:t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>46.1%</w:t>
      </w:r>
    </w:p>
    <w:p>
      <w:pPr>
        <w:rPr>
          <w:rFonts w:hint="default"/>
        </w:rPr>
      </w:pPr>
      <w:r>
        <w:rPr>
          <w:rFonts w:hint="default"/>
        </w:rPr>
        <w:t xml:space="preserve"> 6 国家级   2~5年        17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12.1%</w:t>
      </w:r>
    </w:p>
    <w:p>
      <w:pPr>
        <w:rPr>
          <w:rFonts w:hint="default"/>
        </w:rPr>
      </w:pPr>
      <w:r>
        <w:rPr>
          <w:rFonts w:hint="default"/>
        </w:rPr>
        <w:t xml:space="preserve"> 7 国家级   6～10年      25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17.7%</w:t>
      </w:r>
    </w:p>
    <w:p>
      <w:pPr>
        <w:rPr>
          <w:rFonts w:hint="default"/>
        </w:rPr>
      </w:pPr>
      <w:r>
        <w:rPr>
          <w:rFonts w:hint="default"/>
        </w:rPr>
        <w:t xml:space="preserve"> 8 国家级   不超过1年    34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24.1%</w:t>
      </w:r>
    </w:p>
    <w:p>
      <w:pPr>
        <w:rPr>
          <w:rFonts w:hint="default"/>
        </w:rPr>
      </w:pPr>
      <w:r>
        <w:rPr>
          <w:rFonts w:hint="default"/>
        </w:rPr>
        <w:t xml:space="preserve"> 9 区县级   10年以上     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11.8%</w:t>
      </w:r>
    </w:p>
    <w:p>
      <w:pPr>
        <w:rPr>
          <w:rFonts w:hint="default"/>
        </w:rPr>
      </w:pPr>
      <w:r>
        <w:rPr>
          <w:rFonts w:hint="default"/>
        </w:rPr>
        <w:t>10 区县级   2~5年         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11.8%</w:t>
      </w:r>
    </w:p>
    <w:p>
      <w:pPr>
        <w:rPr>
          <w:rFonts w:hint="default"/>
        </w:rPr>
      </w:pPr>
      <w:r>
        <w:rPr>
          <w:rFonts w:hint="default"/>
        </w:rPr>
        <w:t xml:space="preserve">11 区县级   6～10年       3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17.6%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12 区县级   不超过1年    10 </w:t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>58.8%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13 省级     10年以上     33 </w:t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ab/>
      </w:r>
      <w:r>
        <w:rPr>
          <w:rFonts w:hint="default"/>
          <w:u w:val="single"/>
        </w:rPr>
        <w:t>37.9%</w:t>
      </w:r>
    </w:p>
    <w:p>
      <w:pPr>
        <w:rPr>
          <w:rFonts w:hint="default"/>
        </w:rPr>
      </w:pPr>
      <w:r>
        <w:rPr>
          <w:rFonts w:hint="default"/>
        </w:rPr>
        <w:t xml:space="preserve">14 省级     2~5年        15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17.2%</w:t>
      </w:r>
    </w:p>
    <w:p>
      <w:pPr>
        <w:rPr>
          <w:rFonts w:hint="default"/>
        </w:rPr>
      </w:pPr>
      <w:r>
        <w:rPr>
          <w:rFonts w:hint="default"/>
        </w:rPr>
        <w:t xml:space="preserve">15 省级     6～10年      12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13.8%</w:t>
      </w:r>
    </w:p>
    <w:p>
      <w:pPr>
        <w:rPr>
          <w:rFonts w:hint="default"/>
        </w:rPr>
      </w:pPr>
      <w:r>
        <w:rPr>
          <w:rFonts w:hint="default"/>
        </w:rPr>
        <w:t xml:space="preserve">16 省级     不超过1年    27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31%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可以发现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引导基金行政级别越高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越倾向于在已经上市多年的企业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即企业后期阶段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持股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这可能和基金的财务风险制度约束有关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层级越低的引导基金越灵活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引导基金行政级别与投资高新技术产业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</w:t>
      </w:r>
      <w:r>
        <w:rPr>
          <w:rFonts w:hint="default"/>
          <w:lang w:eastAsia="zh-Hans"/>
        </w:rPr>
        <w:t>2012</w:t>
      </w:r>
      <w:r>
        <w:rPr>
          <w:rFonts w:hint="eastAsia"/>
          <w:lang w:val="en-US" w:eastAsia="zh-Hans"/>
        </w:rPr>
        <w:t>年证监会的行业分类指引，将医药制造业（C27）、航空航天制造业 （C37）、计算机—通信和其他电子设备制造业（C39）、仪器仪表制造业（C40）、信息传输—软件和信息技术 服务业（I）及科学研究和技术服务业（M）认定为高新技术行业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 xml:space="preserve"> 基金级别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 xml:space="preserve">是否投资高新技术   数量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比例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1 地市级           0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56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70%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2 地市级           1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24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30%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3 国家级           0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143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45.8%</w:t>
      </w:r>
    </w:p>
    <w:p>
      <w:pPr>
        <w:rPr>
          <w:rFonts w:hint="eastAsia"/>
          <w:u w:val="single"/>
          <w:lang w:val="en-US" w:eastAsia="zh-Hans"/>
        </w:rPr>
      </w:pPr>
      <w:r>
        <w:rPr>
          <w:rFonts w:hint="eastAsia"/>
          <w:u w:val="single"/>
          <w:lang w:val="en-US" w:eastAsia="zh-Hans"/>
        </w:rPr>
        <w:t xml:space="preserve">4 国家级           1  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eastAsia"/>
          <w:u w:val="single"/>
          <w:lang w:val="en-US" w:eastAsia="zh-Hans"/>
        </w:rPr>
        <w:t xml:space="preserve">169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eastAsia="zh-Hans"/>
        </w:rPr>
        <w:tab/>
      </w:r>
      <w:r>
        <w:rPr>
          <w:rFonts w:hint="eastAsia"/>
          <w:u w:val="single"/>
          <w:lang w:val="en-US" w:eastAsia="zh-Hans"/>
        </w:rPr>
        <w:t>54.2%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5 区县级           0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23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63.9%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6 区县级           1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13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36.1%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7 省级             0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137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bookmarkStart w:id="0" w:name="_GoBack"/>
      <w:bookmarkEnd w:id="0"/>
      <w:r>
        <w:rPr>
          <w:rFonts w:hint="eastAsia"/>
          <w:lang w:val="en-US" w:eastAsia="zh-Hans"/>
        </w:rPr>
        <w:t>59.3%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8 省级             1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94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40.7%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9 </w:t>
      </w:r>
      <w:r>
        <w:rPr>
          <w:rFonts w:hint="eastAsia"/>
          <w:lang w:val="en-US" w:eastAsia="zh-Hans"/>
        </w:rPr>
        <w:t>全部</w:t>
      </w:r>
      <w:r>
        <w:rPr>
          <w:rFonts w:hint="default"/>
          <w:lang w:eastAsia="zh-Hans"/>
        </w:rPr>
        <w:t xml:space="preserve">             0            512        59.6%</w:t>
      </w:r>
    </w:p>
    <w:p>
      <w:pPr>
        <w:rPr>
          <w:rFonts w:hint="default"/>
          <w:u w:val="single"/>
          <w:lang w:eastAsia="zh-Hans"/>
        </w:rPr>
      </w:pPr>
      <w:r>
        <w:rPr>
          <w:rFonts w:hint="default"/>
          <w:u w:val="single"/>
          <w:lang w:eastAsia="zh-Hans"/>
        </w:rPr>
        <w:t>10</w:t>
      </w:r>
      <w:r>
        <w:rPr>
          <w:rFonts w:hint="eastAsia"/>
          <w:u w:val="single"/>
          <w:lang w:val="en-US" w:eastAsia="zh-Hans"/>
        </w:rPr>
        <w:t>全部</w:t>
      </w:r>
      <w:r>
        <w:rPr>
          <w:rFonts w:hint="default"/>
          <w:u w:val="single"/>
          <w:lang w:eastAsia="zh-Hans"/>
        </w:rPr>
        <w:t xml:space="preserve">            1            347         40.4%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除了国家级引导基金外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其他引导基金并没有特别偏向持股高新技术企业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不过考虑到高新技术企业在全部上市公司中只占</w:t>
      </w:r>
      <w:r>
        <w:rPr>
          <w:rFonts w:hint="default"/>
          <w:lang w:eastAsia="zh-Hans"/>
        </w:rPr>
        <w:t>20%</w:t>
      </w:r>
      <w:r>
        <w:rPr>
          <w:rFonts w:hint="eastAsia"/>
          <w:lang w:val="en-US" w:eastAsia="zh-Hans"/>
        </w:rPr>
        <w:t>左右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以上统计仍证明引导基金确实侧重于持股高新技术企业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restart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国家级基金</w:t>
            </w:r>
          </w:p>
        </w:tc>
        <w:tc>
          <w:tcPr>
            <w:tcW w:w="2841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非国家级基金</w:t>
            </w:r>
          </w:p>
        </w:tc>
        <w:tc>
          <w:tcPr>
            <w:tcW w:w="1421" w:type="dxa"/>
            <w:vMerge w:val="restart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  <w:tcBorders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1" w:type="dxa"/>
            <w:vMerge w:val="continue"/>
            <w:tcBorders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49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46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66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04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06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74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37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52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36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141</w:t>
            </w:r>
          </w:p>
        </w:tc>
        <w:tc>
          <w:tcPr>
            <w:tcW w:w="2841" w:type="dxa"/>
            <w:gridSpan w:val="2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141</w:t>
            </w:r>
          </w:p>
        </w:tc>
        <w:tc>
          <w:tcPr>
            <w:tcW w:w="1421" w:type="dxa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引导基金出资背景与持股时长</w:t>
      </w:r>
    </w:p>
    <w:p>
      <w:pPr>
        <w:ind w:firstLine="420" w:firstLineChars="20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含</w:t>
      </w:r>
      <w:r>
        <w:rPr>
          <w:rFonts w:hint="eastAsia"/>
          <w:lang w:val="en-US" w:eastAsia="zh-Hans"/>
        </w:rPr>
        <w:t>有</w:t>
      </w:r>
      <w:r>
        <w:rPr>
          <w:rFonts w:hint="default"/>
          <w:lang w:val="en-US" w:eastAsia="zh-Hans"/>
        </w:rPr>
        <w:t xml:space="preserve">非国资出资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持股时长    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val="en-US" w:eastAsia="zh-Hans"/>
        </w:rPr>
        <w:t xml:space="preserve"> </w:t>
      </w:r>
      <w:r>
        <w:rPr>
          <w:rFonts w:hint="default"/>
          <w:lang w:eastAsia="zh-Hans"/>
        </w:rPr>
        <w:tab/>
        <w:t xml:space="preserve"> </w:t>
      </w:r>
      <w:r>
        <w:rPr>
          <w:rFonts w:hint="eastAsia"/>
          <w:lang w:val="en-US" w:eastAsia="zh-Hans"/>
        </w:rPr>
        <w:t>比例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>1              0</w:t>
      </w:r>
      <w:r>
        <w:rPr>
          <w:rFonts w:hint="default"/>
          <w:u w:val="single"/>
          <w:lang w:eastAsia="zh-Hans"/>
        </w:rPr>
        <w:t xml:space="preserve">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1年         65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37.6%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2              0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2~3年       63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36.4%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3              0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4～5年      33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19.1%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4              0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5年以上     12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6.9% 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5              1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1年         59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52.2%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6              1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2~3年       37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32.7%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7              1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4～5年      12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10.6%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8              1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5年以上      5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4.4%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含有民资出资的引导基金更倾向于短期持股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但是差异并不是特别大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引导基金出资背景与首次持股距IPO时长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val="en-US" w:eastAsia="zh-Hans"/>
        </w:rPr>
        <w:t xml:space="preserve">包含非国资出资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时长段       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比例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1              0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10年以上     72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41.6%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2              0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2~5年        27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15.6%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3              0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6～10年      32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18.5%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4              0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不超过1年    42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24.3%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5              1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10年以上     38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33.6%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6              1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2~5年        13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11.5%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7              1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 xml:space="preserve">6～10年      12 </w:t>
      </w:r>
      <w:r>
        <w:rPr>
          <w:rFonts w:hint="default"/>
          <w:lang w:eastAsia="zh-Hans"/>
        </w:rPr>
        <w:tab/>
      </w:r>
      <w:r>
        <w:rPr>
          <w:rFonts w:hint="default"/>
          <w:lang w:val="en-US" w:eastAsia="zh-Hans"/>
        </w:rPr>
        <w:t>10.6%</w:t>
      </w:r>
    </w:p>
    <w:p>
      <w:pPr>
        <w:rPr>
          <w:rFonts w:hint="default"/>
          <w:u w:val="single"/>
          <w:lang w:val="en-US" w:eastAsia="zh-Hans"/>
        </w:rPr>
      </w:pPr>
      <w:r>
        <w:rPr>
          <w:rFonts w:hint="default"/>
          <w:u w:val="single"/>
          <w:lang w:val="en-US" w:eastAsia="zh-Hans"/>
        </w:rPr>
        <w:t xml:space="preserve">8              1 </w:t>
      </w:r>
      <w:r>
        <w:rPr>
          <w:rFonts w:hint="default"/>
          <w:u w:val="single"/>
          <w:lang w:eastAsia="zh-Hans"/>
        </w:rPr>
        <w:tab/>
        <w:t/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 xml:space="preserve">不超过1年    50 </w:t>
      </w:r>
      <w:r>
        <w:rPr>
          <w:rFonts w:hint="default"/>
          <w:u w:val="single"/>
          <w:lang w:eastAsia="zh-Hans"/>
        </w:rPr>
        <w:tab/>
      </w:r>
      <w:r>
        <w:rPr>
          <w:rFonts w:hint="default"/>
          <w:u w:val="single"/>
          <w:lang w:val="en-US" w:eastAsia="zh-Hans"/>
        </w:rPr>
        <w:t>44.2%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含有民资出资的引导基金更倾向于在企业上市早期持股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这种类型的引导基金运作更加灵活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更加市场化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更符合风险投资的投资风格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这和前面描述的引导基金行政级别越低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越倾向于在企业上市早期持股具有一致的逻辑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引导基金出资背景与投资高新技术产业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包含非国资出资  </w:t>
      </w:r>
      <w:r>
        <w:rPr>
          <w:rFonts w:hint="eastAsia"/>
          <w:lang w:val="en-US" w:eastAsia="zh-Hans"/>
        </w:rPr>
        <w:t>是否投资高新技术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数量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 xml:space="preserve"> </w:t>
      </w:r>
      <w:r>
        <w:rPr>
          <w:rFonts w:hint="eastAsia"/>
          <w:lang w:val="en-US" w:eastAsia="zh-Hans"/>
        </w:rPr>
        <w:t>比例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1              0         0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232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52.5%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2              0         1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210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47.5%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3              1         0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133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59.6%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4              1         1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90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40.4%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差异并不明显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基金包含民营资本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基金不包含民营资本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1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97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47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113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173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把注册地址位于北京市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上海市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广东省的引导基金定义为发达地区的引导基金</w:t>
      </w:r>
    </w:p>
    <w:p>
      <w:pPr>
        <w:rPr>
          <w:rFonts w:hint="default"/>
          <w:lang w:val="en-US" w:eastAsia="zh-Han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发达地区基金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非发达地区基金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均值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标准差</w:t>
            </w: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持股时间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</w:t>
            </w:r>
            <w:r>
              <w:rPr>
                <w:rFonts w:hint="default"/>
                <w:vertAlign w:val="baseline"/>
                <w:lang w:eastAsia="zh-Hans"/>
              </w:rPr>
              <w:t>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首次持股距IPO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default"/>
                <w:vertAlign w:val="baseline"/>
                <w:lang w:eastAsia="zh-Hans"/>
              </w:rPr>
              <w:t>.08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7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18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持股高新技术企业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46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39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48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-6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样本量</w:t>
            </w:r>
          </w:p>
        </w:tc>
        <w:tc>
          <w:tcPr>
            <w:tcW w:w="2840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82</w:t>
            </w:r>
          </w:p>
        </w:tc>
        <w:tc>
          <w:tcPr>
            <w:tcW w:w="2841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default"/>
                <w:vertAlign w:val="baseline"/>
                <w:lang w:eastAsia="zh-Hans"/>
              </w:rPr>
              <w:t>04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CF31F4"/>
    <w:rsid w:val="19F7D0CC"/>
    <w:rsid w:val="2E73AE64"/>
    <w:rsid w:val="3EEF0C5F"/>
    <w:rsid w:val="6FDF3299"/>
    <w:rsid w:val="6FFFA8D5"/>
    <w:rsid w:val="7DFF4890"/>
    <w:rsid w:val="7E7F347B"/>
    <w:rsid w:val="DF766B87"/>
    <w:rsid w:val="F5CF31F4"/>
    <w:rsid w:val="FF7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2022-08-05T15:42:00Z</dcterms:created>
  <dc:creator>香酥奶油饼</dc:creator>
  <cp:lastModifiedBy>香酥奶油饼</cp:lastModifiedBy>
  <dcterms:modified xsi:type="dcterms:W3CDTF">2022-08-07T10:57:50Z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E471E92530FE195503E9EB62FEF16F87</vt:lpwstr>
  </property>
</Properties>
</file>