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引导基金持股的年份分布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964690"/>
            <wp:effectExtent l="0" t="0" r="12065" b="16510"/>
            <wp:docPr id="1" name="图片 1" descr="Year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ar_Distribution"/>
                    <pic:cNvPicPr>
                      <a:picLocks noChangeAspect="1"/>
                    </pic:cNvPicPr>
                  </pic:nvPicPr>
                  <pic:blipFill>
                    <a:blip r:embed="rId4"/>
                    <a:srcRect t="677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可以发现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引导基金持股的两次快速增加分别是在</w:t>
      </w:r>
      <w:r>
        <w:rPr>
          <w:rFonts w:hint="default"/>
          <w:lang w:eastAsia="zh-Hans"/>
        </w:rPr>
        <w:t>2014～2015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、2016～2017</w:t>
      </w:r>
      <w:r>
        <w:rPr>
          <w:rFonts w:hint="eastAsia"/>
          <w:lang w:val="en-US" w:eastAsia="zh-Hans"/>
        </w:rPr>
        <w:t>年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2010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2011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2012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2014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2015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27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59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72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2019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2020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2021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237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引导基金持股的时长分布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20310" cy="3632835"/>
            <wp:effectExtent l="0" t="0" r="8890" b="24765"/>
            <wp:docPr id="2" name="图片 2" descr="Hold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ld_Time"/>
                    <pic:cNvPicPr>
                      <a:picLocks noChangeAspect="1"/>
                    </pic:cNvPicPr>
                  </pic:nvPicPr>
                  <pic:blipFill>
                    <a:blip r:embed="rId5"/>
                    <a:srcRect t="7900" b="75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大多数引导基金倾向于短期持股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小于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年以上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4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205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114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70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</w:tr>
    </w:tbl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引导基金首次持股与企业IPO的相隔时间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111115" cy="3101340"/>
            <wp:effectExtent l="0" t="0" r="19685" b="22860"/>
            <wp:docPr id="3" name="图片 3" descr="/private/var/folders/97/5s9vc3hs2nj936lfdqch4zsr0000gn/T/com.kingsoft.wpsoffice.mac/picturecompress_20220907164615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private/var/folders/97/5s9vc3hs2nj936lfdqch4zsr0000gn/T/com.kingsoft.wpsoffice.mac/picturecompress_20220907164615/output_1.pngoutput_1"/>
                    <pic:cNvPicPr>
                      <a:picLocks noChangeAspect="1"/>
                    </pic:cNvPicPr>
                  </pic:nvPicPr>
                  <pic:blipFill>
                    <a:blip r:embed="rId6"/>
                    <a:srcRect t="11602" b="7349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可见引导基金相对来说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更愿意持股新上市的企业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这些股权往往是企业在上市之前就已经投资完毕</w:t>
      </w:r>
    </w:p>
    <w:tbl>
      <w:tblPr>
        <w:tblStyle w:val="3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69"/>
        <w:gridCol w:w="2169"/>
        <w:gridCol w:w="217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2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不超过1年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2~5年</w:t>
            </w:r>
          </w:p>
        </w:tc>
        <w:tc>
          <w:tcPr>
            <w:tcW w:w="2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6～10年</w:t>
            </w:r>
          </w:p>
        </w:tc>
        <w:tc>
          <w:tcPr>
            <w:tcW w:w="2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10年以上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21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177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62</w:t>
            </w:r>
          </w:p>
        </w:tc>
        <w:tc>
          <w:tcPr>
            <w:tcW w:w="21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21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107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引导基金持股企业的行业分布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386705" cy="3062605"/>
            <wp:effectExtent l="0" t="0" r="23495" b="10795"/>
            <wp:docPr id="4" name="图片 4" descr="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dustry_Distribution"/>
                    <pic:cNvPicPr>
                      <a:picLocks noChangeAspect="1"/>
                    </pic:cNvPicPr>
                  </pic:nvPicPr>
                  <pic:blipFill>
                    <a:blip r:embed="rId7"/>
                    <a:srcRect l="2539" t="11568" r="8641" b="4159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引导基金支持的行业确实以计算机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医药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先进制造等高新技术企业为主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五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引导基金行政级别与持股时长</w:t>
      </w:r>
    </w:p>
    <w:p>
      <w:pPr>
        <w:rPr>
          <w:rFonts w:hint="default"/>
          <w:lang w:val="en-US" w:eastAsia="zh-Hans"/>
        </w:rPr>
      </w:pPr>
    </w:p>
    <w:tbl>
      <w:tblPr>
        <w:tblStyle w:val="3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938"/>
        <w:gridCol w:w="975"/>
        <w:gridCol w:w="903"/>
        <w:gridCol w:w="966"/>
        <w:gridCol w:w="966"/>
        <w:gridCol w:w="967"/>
        <w:gridCol w:w="967"/>
        <w:gridCol w:w="967"/>
      </w:tblGrid>
      <w:tr>
        <w:trPr>
          <w:trHeight w:val="457" w:hRule="atLeast"/>
        </w:trPr>
        <w:tc>
          <w:tcPr>
            <w:tcW w:w="10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9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国家级</w:t>
            </w:r>
          </w:p>
        </w:tc>
        <w:tc>
          <w:tcPr>
            <w:tcW w:w="1869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省级</w:t>
            </w:r>
          </w:p>
        </w:tc>
        <w:tc>
          <w:tcPr>
            <w:tcW w:w="1933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地市级</w:t>
            </w:r>
          </w:p>
        </w:tc>
        <w:tc>
          <w:tcPr>
            <w:tcW w:w="1934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区县级</w:t>
            </w:r>
          </w:p>
        </w:tc>
      </w:tr>
      <w:tr>
        <w:trPr>
          <w:trHeight w:val="457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</w:tr>
      <w:tr>
        <w:trPr>
          <w:trHeight w:val="457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31.2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78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34.5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43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34.5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2～3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68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47.2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71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31.4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37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38.1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48.3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4～5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24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16.7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40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17.7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13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13.4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0.3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年以上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4.9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37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6.9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506" w:hRule="atLeast"/>
        </w:trPr>
        <w:tc>
          <w:tcPr>
            <w:tcW w:w="10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144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226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97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引导基金行政级别与首次持股距IPO时长</w:t>
      </w:r>
    </w:p>
    <w:tbl>
      <w:tblPr>
        <w:tblStyle w:val="3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925"/>
        <w:gridCol w:w="963"/>
        <w:gridCol w:w="975"/>
        <w:gridCol w:w="937"/>
        <w:gridCol w:w="963"/>
        <w:gridCol w:w="925"/>
        <w:gridCol w:w="937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19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8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国家级</w:t>
            </w:r>
          </w:p>
        </w:tc>
        <w:tc>
          <w:tcPr>
            <w:tcW w:w="19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省级</w:t>
            </w:r>
          </w:p>
        </w:tc>
        <w:tc>
          <w:tcPr>
            <w:tcW w:w="188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地市级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区县级</w:t>
            </w:r>
          </w:p>
        </w:tc>
      </w:tr>
      <w:tr>
        <w:trPr>
          <w:trHeight w:val="457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2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6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比例</w:t>
            </w:r>
          </w:p>
        </w:tc>
      </w:tr>
      <w:tr>
        <w:trPr>
          <w:trHeight w:val="457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2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38</w:t>
            </w:r>
          </w:p>
        </w:tc>
        <w:tc>
          <w:tcPr>
            <w:tcW w:w="96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default"/>
                <w:vertAlign w:val="baseline"/>
                <w:lang w:eastAsia="zh-Hans"/>
              </w:rPr>
              <w:t>6.4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44.2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59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60.8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21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  <w:r>
              <w:rPr>
                <w:rFonts w:hint="default"/>
                <w:vertAlign w:val="baseline"/>
                <w:lang w:eastAsia="zh-Hans"/>
              </w:rPr>
              <w:t>2.4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2～5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5.3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36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5.9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6.5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6～10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13.2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25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11.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3.8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457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年以上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65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65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28.8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1.3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0.3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</w:tr>
      <w:tr>
        <w:trPr>
          <w:trHeight w:val="506" w:hRule="atLeast"/>
        </w:trPr>
        <w:tc>
          <w:tcPr>
            <w:tcW w:w="11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144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226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97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引导基金行政级别与高新技术企业投资</w:t>
      </w:r>
    </w:p>
    <w:tbl>
      <w:tblPr>
        <w:tblStyle w:val="3"/>
        <w:tblW w:w="8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19"/>
        <w:gridCol w:w="2119"/>
        <w:gridCol w:w="2120"/>
      </w:tblGrid>
      <w:tr>
        <w:trPr>
          <w:trHeight w:val="449" w:hRule="atLeast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基金级别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非高新技术企业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高新技术企业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总数</w:t>
            </w:r>
          </w:p>
        </w:tc>
      </w:tr>
      <w:tr>
        <w:trPr>
          <w:trHeight w:val="449" w:hRule="atLeast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国家级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79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144</w:t>
            </w:r>
          </w:p>
        </w:tc>
      </w:tr>
      <w:tr>
        <w:trPr>
          <w:trHeight w:val="449" w:hRule="atLeast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default"/>
                <w:vertAlign w:val="baseline"/>
                <w:lang w:eastAsia="zh-Hans"/>
              </w:rPr>
              <w:t>4.9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default"/>
                <w:vertAlign w:val="baseline"/>
                <w:lang w:eastAsia="zh-Hans"/>
              </w:rPr>
              <w:t>5.1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rPr>
          <w:trHeight w:val="449" w:hRule="atLeast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省级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145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81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226</w:t>
            </w:r>
          </w:p>
        </w:tc>
      </w:tr>
      <w:tr>
        <w:trPr>
          <w:trHeight w:val="449" w:hRule="atLeast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4.2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35.8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rPr>
          <w:trHeight w:val="449" w:hRule="atLeast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地市级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33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97</w:t>
            </w:r>
          </w:p>
        </w:tc>
      </w:tr>
      <w:tr>
        <w:trPr>
          <w:trHeight w:val="449" w:hRule="atLeast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rPr>
          <w:trHeight w:val="449" w:hRule="atLeast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区县级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18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</w:tr>
      <w:tr>
        <w:trPr>
          <w:trHeight w:val="473" w:hRule="atLeast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2.1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default"/>
                <w:vertAlign w:val="baseline"/>
                <w:lang w:eastAsia="zh-Hans"/>
              </w:rPr>
              <w:t>7.9</w:t>
            </w:r>
            <w:r>
              <w:rPr>
                <w:rFonts w:hint="default"/>
                <w:vertAlign w:val="baseline"/>
                <w:lang w:eastAsia="zh-Hans"/>
              </w:rPr>
              <w:t>%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引导基金行政级别与相关投资指标的t检验</w:t>
      </w:r>
    </w:p>
    <w:p>
      <w:pPr>
        <w:rPr>
          <w:rFonts w:hint="default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restart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国家级基金</w:t>
            </w:r>
          </w:p>
        </w:tc>
        <w:tc>
          <w:tcPr>
            <w:tcW w:w="2841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非国家级基金</w:t>
            </w:r>
          </w:p>
        </w:tc>
        <w:tc>
          <w:tcPr>
            <w:tcW w:w="1421" w:type="dxa"/>
            <w:vMerge w:val="restart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2.53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1.53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2.78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2.18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49.447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10.13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5.47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7.85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29.415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0.45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0.5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36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144</w:t>
            </w:r>
          </w:p>
        </w:tc>
        <w:tc>
          <w:tcPr>
            <w:tcW w:w="2841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352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引导基金所在区域与相关投资指标的t检验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把注册地址位于北京市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上海市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广东省的引导基金定义为发达地区的引导基金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发达地区基金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非发达地区基金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t检验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2.32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47.338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7.98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9.06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5.82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7.82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28.818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-2.173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232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267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5DF06"/>
    <w:multiLevelType w:val="singleLevel"/>
    <w:tmpl w:val="7FB5DF06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2002C"/>
    <w:rsid w:val="5FF2002C"/>
    <w:rsid w:val="9BFD85CE"/>
    <w:rsid w:val="F3F3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2022-09-08T00:41:00Z</dcterms:created>
  <dc:creator>香酥奶油饼</dc:creator>
  <cp:lastModifiedBy>香酥奶油饼</cp:lastModifiedBy>
  <dcterms:modified xsi:type="dcterms:W3CDTF">2022-09-07T20:24:27Z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63AD776CBA4DAC0A29591863A2020287</vt:lpwstr>
  </property>
</Properties>
</file>