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对已有文献结论的检验</w:t>
      </w:r>
    </w:p>
    <w:p>
      <w:pPr>
        <w:pStyle w:val="15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对会计稳健性的控制变量测试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分别将企业规模Size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资产负债率Lev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产权性质SOE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管理层持股MHRatio代入Basu模型进行回归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按照已有文献的结论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回归系数的符号应该分别为</w:t>
      </w:r>
      <w:r>
        <w:rPr>
          <w:rFonts w:hint="default"/>
          <w:lang w:eastAsia="zh-Hans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变量</w:t>
            </w:r>
          </w:p>
        </w:tc>
        <w:tc>
          <w:tcPr>
            <w:tcW w:w="284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预期符号</w:t>
            </w:r>
          </w:p>
        </w:tc>
        <w:tc>
          <w:tcPr>
            <w:tcW w:w="284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实际符号</w:t>
            </w:r>
          </w:p>
        </w:tc>
      </w:tr>
      <w:tr>
        <w:tc>
          <w:tcPr>
            <w:tcW w:w="2840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Size</w:t>
            </w:r>
          </w:p>
        </w:tc>
        <w:tc>
          <w:tcPr>
            <w:tcW w:w="284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-</w:t>
            </w:r>
          </w:p>
        </w:tc>
        <w:tc>
          <w:tcPr>
            <w:tcW w:w="284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+</w:t>
            </w:r>
          </w:p>
        </w:tc>
      </w:tr>
      <w:tr>
        <w:tc>
          <w:tcPr>
            <w:tcW w:w="2840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Lev</w:t>
            </w:r>
          </w:p>
        </w:tc>
        <w:tc>
          <w:tcPr>
            <w:tcW w:w="284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+</w:t>
            </w:r>
          </w:p>
        </w:tc>
        <w:tc>
          <w:tcPr>
            <w:tcW w:w="284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+</w:t>
            </w:r>
          </w:p>
        </w:tc>
      </w:tr>
      <w:tr>
        <w:tc>
          <w:tcPr>
            <w:tcW w:w="2840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SOE</w:t>
            </w:r>
          </w:p>
        </w:tc>
        <w:tc>
          <w:tcPr>
            <w:tcW w:w="284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+</w:t>
            </w:r>
          </w:p>
        </w:tc>
        <w:tc>
          <w:tcPr>
            <w:tcW w:w="284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+</w:t>
            </w:r>
          </w:p>
        </w:tc>
      </w:tr>
      <w:tr>
        <w:tc>
          <w:tcPr>
            <w:tcW w:w="2840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MHRatio</w:t>
            </w:r>
          </w:p>
        </w:tc>
        <w:tc>
          <w:tcPr>
            <w:tcW w:w="284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-</w:t>
            </w:r>
          </w:p>
        </w:tc>
        <w:tc>
          <w:tcPr>
            <w:tcW w:w="284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-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总的来说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如果企业的委托代理问题越严重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则对会计稳健性的要求越高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9"/>
        <w:gridCol w:w="1220"/>
        <w:gridCol w:w="1499"/>
        <w:gridCol w:w="1400"/>
        <w:gridCol w:w="1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(1)</w:t>
            </w:r>
          </w:p>
        </w:tc>
        <w:tc>
          <w:tcPr>
            <w:tcW w:w="1499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(2)</w:t>
            </w:r>
          </w:p>
        </w:tc>
        <w:tc>
          <w:tcPr>
            <w:tcW w:w="140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(3)</w:t>
            </w:r>
          </w:p>
        </w:tc>
        <w:tc>
          <w:tcPr>
            <w:tcW w:w="17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Size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Lev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SOE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MHRatio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DR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-0.0217</w:t>
            </w:r>
          </w:p>
        </w:tc>
        <w:tc>
          <w:tcPr>
            <w:tcW w:w="1499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-0.0181</w:t>
            </w:r>
            <w:r>
              <w:rPr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40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-0.00220</w:t>
            </w:r>
          </w:p>
        </w:tc>
        <w:tc>
          <w:tcPr>
            <w:tcW w:w="17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0.000776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(-0.5819)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(-2.6767)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(-0.5889)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(0.2966)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-0.128</w:t>
            </w:r>
            <w:r>
              <w:rPr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0.0146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0.0222</w:t>
            </w:r>
            <w:r>
              <w:rPr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0.0226</w:t>
            </w:r>
            <w:r>
              <w:rPr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(-2.0519)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(1.3345)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(4.5737)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(4.2067)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-0.343</w:t>
            </w:r>
            <w:r>
              <w:rPr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-0.0794</w:t>
            </w:r>
            <w:r>
              <w:rPr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0.0609</w:t>
            </w:r>
            <w:r>
              <w:rPr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0.0830</w:t>
            </w:r>
            <w:r>
              <w:rPr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(-2.0132)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(-2.5495)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(5.5181)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(6.5998)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Size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0.00657</w:t>
            </w:r>
            <w:r>
              <w:rPr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(2.2580)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DR=1 # Size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  <w:bdr w:val="none" w:color="auto" w:sz="0" w:space="0"/>
              </w:rPr>
              <w:t>0.0185</w:t>
            </w:r>
            <w:r>
              <w:rPr>
                <w:b/>
                <w:bCs/>
                <w:bdr w:val="none" w:color="auto" w:sz="0" w:space="0"/>
                <w:vertAlign w:val="superscript"/>
              </w:rPr>
              <w:t>**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  <w:bdr w:val="none" w:color="auto" w:sz="0" w:space="0"/>
              </w:rPr>
              <w:t>(2.3347)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Lev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0.0170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(0.7610)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DR=1 # Lev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  <w:bdr w:val="none" w:color="auto" w:sz="0" w:space="0"/>
              </w:rPr>
              <w:t>0.354</w:t>
            </w:r>
            <w:r>
              <w:rPr>
                <w:b/>
                <w:bCs/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  <w:bdr w:val="none" w:color="auto" w:sz="0" w:space="0"/>
              </w:rPr>
              <w:t>(4.6424)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SOE=1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0.00261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(0.3321)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SOE=1 # 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  <w:bdr w:val="none" w:color="auto" w:sz="0" w:space="0"/>
              </w:rPr>
              <w:t>0.0281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  <w:bdr w:val="none" w:color="auto" w:sz="0" w:space="0"/>
              </w:rPr>
              <w:t>(1.4601)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MHRatio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-0.00327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(-0.1496)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DR=1 # MHRatio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  <w:bdr w:val="none" w:color="auto" w:sz="0" w:space="0"/>
              </w:rPr>
              <w:t>-0.139</w:t>
            </w:r>
            <w:r>
              <w:rPr>
                <w:b/>
                <w:bCs/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</w:pP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  <w:bdr w:val="none" w:color="auto" w:sz="0" w:space="0"/>
              </w:rPr>
              <w:t>(-3.2631)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Constant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-0.359</w:t>
            </w:r>
            <w:r>
              <w:rPr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0.0448</w:t>
            </w:r>
            <w:r>
              <w:rPr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0.0322</w:t>
            </w:r>
            <w:r>
              <w:rPr>
                <w:bdr w:val="none" w:color="auto" w:sz="0" w:space="0"/>
                <w:vertAlign w:val="superscript"/>
              </w:rPr>
              <w:t>***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0.0407</w:t>
            </w:r>
            <w:r>
              <w:rPr>
                <w:bdr w:val="none" w:color="auto" w:sz="0" w:space="0"/>
                <w:vertAlign w:val="superscript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(-11.6316)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(8.5291)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(13.7158)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(19.0556)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/>
                <w:bdr w:val="none" w:color="auto" w:sz="0" w:space="0"/>
              </w:rPr>
            </w:pPr>
            <w:r>
              <w:rPr>
                <w:rFonts w:hint="default"/>
                <w:bdr w:val="none" w:color="auto" w:sz="0" w:space="0"/>
              </w:rPr>
              <w:t>Obs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12928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12928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12928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12928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rPr>
                <w:rFonts w:hint="default"/>
                <w:bdr w:val="none" w:color="auto" w:sz="0" w:space="0"/>
              </w:rPr>
              <w:t>adj</w:t>
            </w:r>
            <w:r>
              <w:rPr>
                <w:rFonts w:hint="eastAsia"/>
                <w:bdr w:val="none" w:color="auto" w:sz="0" w:space="0"/>
                <w:lang w:val="en-US" w:eastAsia="zh-Hans"/>
              </w:rPr>
              <w:t>usted</w:t>
            </w:r>
            <w:r>
              <w:rPr>
                <w:rFonts w:hint="default"/>
                <w:bdr w:val="none" w:color="auto" w:sz="0" w:space="0"/>
                <w:lang w:eastAsia="zh-Hans"/>
              </w:rPr>
              <w:t>-</w:t>
            </w:r>
            <w:r>
              <w:rPr>
                <w:rFonts w:hint="default"/>
                <w:bdr w:val="none" w:color="auto" w:sz="0" w:space="0"/>
              </w:rPr>
              <w:t>R2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0.140</w:t>
            </w:r>
          </w:p>
        </w:tc>
        <w:tc>
          <w:tcPr>
            <w:tcW w:w="1499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0.105</w:t>
            </w:r>
          </w:p>
        </w:tc>
        <w:tc>
          <w:tcPr>
            <w:tcW w:w="140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0.0914</w:t>
            </w:r>
          </w:p>
        </w:tc>
        <w:tc>
          <w:tcPr>
            <w:tcW w:w="1725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0.0893</w:t>
            </w:r>
          </w:p>
        </w:tc>
      </w:tr>
    </w:tbl>
    <w:p>
      <w:pPr>
        <w:pStyle w:val="17"/>
        <w:keepNext w:val="0"/>
        <w:keepLines w:val="0"/>
        <w:widowControl/>
        <w:suppressLineNumbers w:val="0"/>
      </w:pPr>
      <w:r>
        <w:rPr>
          <w:i/>
          <w:iCs/>
        </w:rPr>
        <w:t>t</w:t>
      </w:r>
      <w:r>
        <w:t xml:space="preserve"> statistics in parentheses</w:t>
      </w:r>
    </w:p>
    <w:p>
      <w:pPr>
        <w:pStyle w:val="17"/>
        <w:keepNext w:val="0"/>
        <w:keepLines w:val="0"/>
        <w:widowControl/>
        <w:suppressLineNumbers w:val="0"/>
      </w:pPr>
      <w:r>
        <w:rPr>
          <w:vertAlign w:val="superscript"/>
        </w:rPr>
        <w:t>*</w:t>
      </w:r>
      <w:r>
        <w:t xml:space="preserve"> </w:t>
      </w:r>
      <w:r>
        <w:rPr>
          <w:i/>
          <w:iCs/>
        </w:rPr>
        <w:t>p</w:t>
      </w:r>
      <w:r>
        <w:t xml:space="preserve"> &lt; 0.10, </w:t>
      </w:r>
      <w:r>
        <w:rPr>
          <w:vertAlign w:val="superscript"/>
        </w:rPr>
        <w:t>**</w:t>
      </w:r>
      <w:r>
        <w:t xml:space="preserve"> </w:t>
      </w:r>
      <w:r>
        <w:rPr>
          <w:i/>
          <w:iCs/>
        </w:rPr>
        <w:t>p</w:t>
      </w:r>
      <w:r>
        <w:t xml:space="preserve"> &lt; 0.05, </w:t>
      </w:r>
      <w:r>
        <w:rPr>
          <w:vertAlign w:val="superscript"/>
        </w:rPr>
        <w:t>***</w:t>
      </w:r>
      <w:r>
        <w:t xml:space="preserve"> </w:t>
      </w:r>
      <w:r>
        <w:rPr>
          <w:i/>
          <w:iCs/>
        </w:rPr>
        <w:t>p</w:t>
      </w:r>
      <w:r>
        <w:t xml:space="preserve"> &lt; 0.01</w:t>
      </w: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基本回归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控制变量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企业规模Size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资产负债率Lev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管理层持股比例MHRatio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成立时间Age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所在城市人均GDP</w:t>
      </w:r>
    </w:p>
    <w:p>
      <w:pPr>
        <w:bidi w:val="0"/>
        <w:rPr>
          <w:rFonts w:hint="default"/>
          <w:lang w:eastAsia="zh-Hans"/>
        </w:rPr>
      </w:pPr>
    </w:p>
    <w:p>
      <w:pPr>
        <w:pStyle w:val="7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基准回归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u w:val="none"/>
          <w:lang w:val="en-US" w:eastAsia="zh-Hans"/>
        </w:rPr>
      </w:pPr>
      <w:r>
        <w:rPr>
          <w:rFonts w:hint="eastAsia"/>
          <w:b w:val="0"/>
          <w:bCs w:val="0"/>
          <w:u w:val="none"/>
          <w:lang w:val="en-US" w:eastAsia="zh-Hans"/>
        </w:rPr>
        <w:t>其中第三列和第四列的唯一区别是</w:t>
      </w:r>
      <w:r>
        <w:rPr>
          <w:rFonts w:hint="default"/>
          <w:b w:val="0"/>
          <w:bCs w:val="0"/>
          <w:u w:val="none"/>
          <w:lang w:eastAsia="zh-Hans"/>
        </w:rPr>
        <w:t>，</w:t>
      </w:r>
      <w:r>
        <w:rPr>
          <w:rFonts w:hint="eastAsia"/>
          <w:b w:val="0"/>
          <w:bCs w:val="0"/>
          <w:u w:val="none"/>
          <w:lang w:val="en-US" w:eastAsia="zh-Hans"/>
        </w:rPr>
        <w:t>第四列控制了异方差稳健标准误</w:t>
      </w:r>
    </w:p>
    <w:p>
      <w:pPr>
        <w:rPr>
          <w:rFonts w:hint="eastAsia"/>
          <w:lang w:val="en-US"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544"/>
        <w:gridCol w:w="1817"/>
        <w:gridCol w:w="1383"/>
        <w:gridCol w:w="17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Simple High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Control No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&amp;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&amp; High FE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0.0198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-0.00328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0.0395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(1.7733)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(-0.0694)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(0.8734)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(0.7502)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-0.167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-0.161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(8.8839)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(-3.3459)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(-3.2887)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(-1.5660)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0.0622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0.0996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(8.3041)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(0.7214)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(1.3313)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(0.9289)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0.0161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0.00388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0.00865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0.00865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(2.3102)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(0.5790)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(1.3083)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(1.0933)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GGF=0 # DR=1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-0.0182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-0.0129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-0.00927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-0.00927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(-1.6007)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(-1.1714)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(-0.8576)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(-0.5662)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-0.0105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-0.0125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-0.0145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(-1.0659)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(-1.3177)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(-1.5395)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(-1.0005)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0.116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0.0838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0.0797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(3.1470)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(2.3699)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(2.2793)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(1.3828)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Industry 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Province </w:t>
            </w:r>
            <w:r>
              <w:rPr>
                <w:rStyle w:val="18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12928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12928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12928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12928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0.0695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0.138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0.184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pStyle w:val="7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引导基金持股时间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第</w:t>
      </w:r>
      <w:r>
        <w:rPr>
          <w:rFonts w:hint="default"/>
          <w:b w:val="0"/>
          <w:bCs w:val="0"/>
          <w:lang w:eastAsia="zh-Hans"/>
        </w:rPr>
        <w:t>1～2</w:t>
      </w:r>
      <w:r>
        <w:rPr>
          <w:rFonts w:hint="eastAsia"/>
          <w:b w:val="0"/>
          <w:bCs w:val="0"/>
          <w:lang w:val="en-US" w:eastAsia="zh-Hans"/>
        </w:rPr>
        <w:t>列为去除掉引导基金第一年持股的样本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再进行回归</w:t>
      </w:r>
    </w:p>
    <w:p>
      <w:pPr>
        <w:rPr>
          <w:rFonts w:hint="default"/>
          <w:b w:val="0"/>
          <w:bCs w:val="0"/>
          <w:u w:val="single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第</w:t>
      </w:r>
      <w:r>
        <w:rPr>
          <w:rFonts w:hint="default"/>
          <w:b w:val="0"/>
          <w:bCs w:val="0"/>
          <w:lang w:eastAsia="zh-Hans"/>
        </w:rPr>
        <w:t>3～4</w:t>
      </w:r>
      <w:r>
        <w:rPr>
          <w:rFonts w:hint="eastAsia"/>
          <w:b w:val="0"/>
          <w:bCs w:val="0"/>
          <w:lang w:val="en-US" w:eastAsia="zh-Hans"/>
        </w:rPr>
        <w:t>列为只保留引导基金第一年持股的样本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再进行回归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3"/>
        <w:gridCol w:w="1333"/>
        <w:gridCol w:w="1864"/>
        <w:gridCol w:w="1438"/>
        <w:gridCol w:w="19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First Year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First Year (Control)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First Year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First Year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0.0182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0.0459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0.0414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(1.3425)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(1.0015)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(1.9904)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(1.3639)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-0.151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-0.134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(8.9033)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(-3.0760)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(8.9465)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(-2.7118)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0.0624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0.200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0.0624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(8.3606)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(1.4345)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(8.4237)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(1.0874)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0.00834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0.00471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0.0157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0.00633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(0.9469)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(0.5659)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(1.2355)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(0.5263)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GGF=0 # DR=1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-0.0166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-0.00719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-0.0399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(-1.2113)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(-0.5531)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(-1.9039)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(-1.4163)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0.0177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0.00426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-0.0247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-0.0233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(1.1127)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(0.2816)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(-2.0183)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(-1.9934)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0.0773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0.0555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0.154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0.115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(1.6874)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(1.2741)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(2.4900)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(1.9590)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Industry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Province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12776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12776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12553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0.0676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0.0689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0.182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pStyle w:val="7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引导基金行政级别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第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Hans" w:bidi="ar"/>
        </w:rPr>
        <w:t>1、2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列去除掉国家级引导基金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/>
          <w:b w:val="0"/>
          <w:bCs w:val="0"/>
          <w:u w:val="single"/>
          <w:lang w:val="en-US" w:eastAsia="zh-Hans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第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Hans" w:bidi="ar"/>
        </w:rPr>
        <w:t>3、4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列只保留国家级引导基金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1"/>
        <w:gridCol w:w="1436"/>
        <w:gridCol w:w="1846"/>
        <w:gridCol w:w="1516"/>
        <w:gridCol w:w="1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Country GGF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Country GGF (Control)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Country GGF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Country GGF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0.0261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0.0457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0.00711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(1.9258)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(1.0087)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(0.3362)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(1.0061)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-0.122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-0.169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(8.9675)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(-2.4829)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(8.8949)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(-3.4313)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0.0625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0.127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0.0623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(8.4193)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(0.9162)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(8.3689)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(1.6251)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0.00216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0.00262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0.0483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0.0237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(0.2357)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(0.3020)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(4.0583)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(2.1002)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GGF=0 # DR=1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-0.0246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-0.00881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-0.00552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(-1.7892)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(-0.6762)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(-0.2596)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(-0.6329)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-0.00413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-0.0125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-0.0216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-0.0189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(-0.2312)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(-0.7390)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(-1.8392)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(-1.6782)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0.121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0.0739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0.0834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(2.7603)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(1.7724)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(1.1755)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(1.3676)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Industry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Province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12780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12780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12549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12549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0.0675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0.183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0.0692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0.183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pStyle w:val="7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2.4 </w:t>
      </w:r>
      <w:r>
        <w:rPr>
          <w:rFonts w:hint="eastAsia"/>
          <w:lang w:val="en-US" w:eastAsia="zh-Hans"/>
        </w:rPr>
        <w:t>引导基金持股与同省投资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第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Hans" w:bidi="ar"/>
        </w:rPr>
        <w:t>1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列只保留引导基金为排名前五股东的样本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第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Hans" w:bidi="ar"/>
        </w:rPr>
        <w:t>2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列去除掉引导基金为排名前五股东的样本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第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Hans" w:bidi="ar"/>
        </w:rPr>
        <w:t>3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列只保留引导基金与被投资企业处于同一省份的样本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kern w:val="0"/>
          <w:sz w:val="21"/>
          <w:szCs w:val="21"/>
          <w:lang w:eastAsia="zh-Hans" w:bidi="ar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第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Hans" w:bidi="ar"/>
        </w:rPr>
        <w:t>4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Hans" w:bidi="ar"/>
        </w:rPr>
        <w:t>列去除掉引导基金与被投资企业处于同一省份的样本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3"/>
        <w:gridCol w:w="1324"/>
        <w:gridCol w:w="1460"/>
        <w:gridCol w:w="1893"/>
        <w:gridCol w:w="17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Minority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Minority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 Same Province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Same Province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0.0455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0.0505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0.0196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(0.9883)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(1.0596)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(0.4133)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(1.2459)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-0.161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-0.128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-0.124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-0.165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(-3.2918)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(-2.5824)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(-2.5235)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(-3.3467)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0.205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0.148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0.150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(1.4778)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(1.0619)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(1.0820)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(1.4796)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0.0109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0.00528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0.00654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(1.3685)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(0.4440)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(0.5490)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(1.2898)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GGF=0 # DR=1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-0.00176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-0.0187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0.0254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-0.0261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(-0.1298)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(-1.0520)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(1.3490)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(-1.9799)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-0.0154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-0.0110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-0.0118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(-1.5113)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(-0.4813)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(-0.5423)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(-1.4691)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0.0716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0.0817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-0.0307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0.126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(1.6952)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(1.3355)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(-0.4761)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(3.0686)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Industry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Province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12728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12601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12597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12732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0.180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0.183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按公司治理水平进行分组回归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4"/>
        <w:gridCol w:w="1471"/>
        <w:gridCol w:w="1425"/>
        <w:gridCol w:w="1625"/>
        <w:gridCol w:w="1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71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4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6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691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CG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CG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CG (Control)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CG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471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0.0605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-0.0236</w:t>
            </w:r>
          </w:p>
        </w:tc>
        <w:tc>
          <w:tcPr>
            <w:tcW w:w="16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0.0275</w:t>
            </w:r>
          </w:p>
        </w:tc>
        <w:tc>
          <w:tcPr>
            <w:tcW w:w="1691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(3.7554)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(-1.5398)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(0.3853)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(0.6107)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0.0287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0.0135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-0.220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-0.0648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(8.5430)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(3.5794)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(-3.2016)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(-0.8900)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DR=1 # Ret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0.0556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0.0658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0.221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(5.3885)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(5.9680)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(1.0785)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(0.3987)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-0.000238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0.0299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-0.00745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0.0181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(-0.0234)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(3.1614)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(-0.7580)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(1.9955)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GGF=0 # DR=1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-0.0557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0.0199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-0.0380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(-3.3765)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(1.2697)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(-2.3825)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(1.2687)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Ret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0.000795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-0.0165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-0.00299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(0.0577)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(-1.1731)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(-0.2218)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(-1.0858)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DR=1 # Ret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0.199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0.0112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0.118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(3.9912)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(0.2031)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(2.4374)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(0.0702)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471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91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Industry </w:t>
            </w:r>
            <w:r>
              <w:rPr>
                <w:rFonts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Province </w:t>
            </w:r>
            <w:r>
              <w:rPr>
                <w:rFonts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6464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6464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6462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471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0.0916</w:t>
            </w:r>
          </w:p>
        </w:tc>
        <w:tc>
          <w:tcPr>
            <w:tcW w:w="1425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0.0621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0.199</w:t>
            </w:r>
          </w:p>
        </w:tc>
        <w:tc>
          <w:tcPr>
            <w:tcW w:w="1691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0.179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  <w:r>
        <w:rPr>
          <w:rFonts w:hint="eastAsia"/>
          <w:b w:val="0"/>
          <w:bCs w:val="0"/>
          <w:u w:val="single"/>
          <w:lang w:val="en-US" w:eastAsia="zh-Hans"/>
        </w:rPr>
        <w:t>只有公司治理水平较高的一组</w:t>
      </w:r>
      <w:r>
        <w:rPr>
          <w:rFonts w:hint="default"/>
          <w:b w:val="0"/>
          <w:bCs w:val="0"/>
          <w:u w:val="single"/>
          <w:lang w:eastAsia="zh-Hans"/>
        </w:rPr>
        <w:t>，</w:t>
      </w:r>
      <w:r>
        <w:rPr>
          <w:rFonts w:hint="eastAsia"/>
          <w:b w:val="0"/>
          <w:bCs w:val="0"/>
          <w:u w:val="single"/>
          <w:lang w:val="en-US" w:eastAsia="zh-Hans"/>
        </w:rPr>
        <w:t>引导基金对会计稳健性有正向作用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按机构投资者持股分组回归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1440"/>
        <w:gridCol w:w="1512"/>
        <w:gridCol w:w="1550"/>
        <w:gridCol w:w="16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4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512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55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6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Ins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Ins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Ins (Control)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Ins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44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0.0234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512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0.00229</w:t>
            </w:r>
          </w:p>
        </w:tc>
        <w:tc>
          <w:tcPr>
            <w:tcW w:w="155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0.0750</w:t>
            </w:r>
          </w:p>
        </w:tc>
        <w:tc>
          <w:tcPr>
            <w:tcW w:w="16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(1.7336)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(0.1157)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(1.1368)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(-0.5109)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0.0211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0.0121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-0.121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-0.264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(7.0385)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(2.7168)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(-2.0041)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(-2.3474)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DR=1 # Ret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0.0486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0.0925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0.477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(4.5159)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(8.8048)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(2.2420)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(-1.2065)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0.00827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0.0129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0.00338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(1.0345)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(0.9088)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(0.4398)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(1.0997)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GGF=0 # DR=1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-0.0228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0.00394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-0.0154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(-1.6396)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(0.1965)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(-1.1567)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(0.5248)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Ret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-0.0124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0.00510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-0.0119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(-1.1861)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(0.1725)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(-1.1777)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(-1.5704)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DR=1 # Ret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0.113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0.0141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0.0905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(2.4042)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(0.2293)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(2.0202)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(0.8544)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44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12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5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2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Industry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Province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6464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6464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6461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44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0.117</w:t>
            </w:r>
          </w:p>
        </w:tc>
        <w:tc>
          <w:tcPr>
            <w:tcW w:w="1512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0.0562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0.219</w:t>
            </w:r>
          </w:p>
        </w:tc>
        <w:tc>
          <w:tcPr>
            <w:tcW w:w="1625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0.151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  <w:r>
        <w:rPr>
          <w:rFonts w:hint="eastAsia"/>
          <w:b w:val="0"/>
          <w:bCs w:val="0"/>
          <w:u w:val="single"/>
          <w:lang w:val="en-US" w:eastAsia="zh-Hans"/>
        </w:rPr>
        <w:t>只有机构投资者持股水平较高的一组</w:t>
      </w:r>
      <w:r>
        <w:rPr>
          <w:rFonts w:hint="default"/>
          <w:b w:val="0"/>
          <w:bCs w:val="0"/>
          <w:u w:val="single"/>
          <w:lang w:eastAsia="zh-Hans"/>
        </w:rPr>
        <w:t>，</w:t>
      </w:r>
      <w:r>
        <w:rPr>
          <w:rFonts w:hint="eastAsia"/>
          <w:b w:val="0"/>
          <w:bCs w:val="0"/>
          <w:u w:val="single"/>
          <w:lang w:val="en-US" w:eastAsia="zh-Hans"/>
        </w:rPr>
        <w:t>引导基金对会计稳健性有正向作用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pStyle w:val="6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五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按地区金融化程度分组回归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3"/>
        <w:gridCol w:w="1677"/>
        <w:gridCol w:w="1475"/>
        <w:gridCol w:w="1750"/>
        <w:gridCol w:w="16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77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47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75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641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Finance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Finance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Finance (Control)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Finance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677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0.0118</w:t>
            </w:r>
          </w:p>
        </w:tc>
        <w:tc>
          <w:tcPr>
            <w:tcW w:w="147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0.0280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75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0.184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41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-0.0737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(0.5718)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(2.1578)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(2.3964)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(-1.3065)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0.0169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0.0258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-0.0149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-0.228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(4.2043)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(8.2654)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(-0.1738)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(-3.9323)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DR=1 # Ret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0.0668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0.0591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0.524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(5.3270)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(6.4853)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(2.2064)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(-1.2056)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-0.000472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0.0260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-0.0164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0.0237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(-0.0336)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(3.3046)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(-1.1926)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(3.2701)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GGF=0 # DR=1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-0.00736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-0.0278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-0.0154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0.00481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(-0.3515)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(-2.0908)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(-0.7513)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(0.3900)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Ret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-0.00290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-0.0168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0.000636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-0.0236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(-0.1116)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(-1.6630)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(0.0251)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(-2.4507)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DR=1 # Ret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0.00219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0.226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0.00241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0.0965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(0.0331)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(5.1764)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(0.0374)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(2.3744)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677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75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75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1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Industry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Province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5322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7603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5297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7599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677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0.0499</w:t>
            </w:r>
          </w:p>
        </w:tc>
        <w:tc>
          <w:tcPr>
            <w:tcW w:w="1475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0.111</w:t>
            </w:r>
          </w:p>
        </w:tc>
        <w:tc>
          <w:tcPr>
            <w:tcW w:w="175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0.140</w:t>
            </w:r>
          </w:p>
        </w:tc>
        <w:tc>
          <w:tcPr>
            <w:tcW w:w="1641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0.273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hint="default"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single"/>
          <w:lang w:eastAsia="zh-Hans"/>
        </w:rPr>
      </w:pPr>
      <w:r>
        <w:rPr>
          <w:rFonts w:hint="eastAsia"/>
          <w:b w:val="0"/>
          <w:bCs w:val="0"/>
          <w:u w:val="single"/>
          <w:lang w:val="en-US" w:eastAsia="zh-Hans"/>
        </w:rPr>
        <w:t>只有地区金融化水平较低的一组</w:t>
      </w:r>
      <w:r>
        <w:rPr>
          <w:rFonts w:hint="default"/>
          <w:b w:val="0"/>
          <w:bCs w:val="0"/>
          <w:u w:val="single"/>
          <w:lang w:eastAsia="zh-Hans"/>
        </w:rPr>
        <w:t>，</w:t>
      </w:r>
      <w:r>
        <w:rPr>
          <w:rFonts w:hint="eastAsia"/>
          <w:b w:val="0"/>
          <w:bCs w:val="0"/>
          <w:u w:val="single"/>
          <w:lang w:val="en-US" w:eastAsia="zh-Hans"/>
        </w:rPr>
        <w:t>引导基金对会计稳健性有正向作用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按政府补助进行回归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4"/>
        <w:gridCol w:w="1656"/>
        <w:gridCol w:w="1550"/>
        <w:gridCol w:w="1663"/>
        <w:gridCol w:w="17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56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55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663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1753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Subsidies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Subsidies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Subsidies (Control)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Subsidies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656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-0.0109</w:t>
            </w:r>
          </w:p>
        </w:tc>
        <w:tc>
          <w:tcPr>
            <w:tcW w:w="155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0.0343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663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0.0552</w:t>
            </w:r>
          </w:p>
        </w:tc>
        <w:tc>
          <w:tcPr>
            <w:tcW w:w="1753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(-0.6034)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(1.8765)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(0.7351)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(-0.4314)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0.0191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0.0210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-0.145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-0.287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(5.3685)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(5.0619)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(-2.0603)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(-3.2452)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DR=1 # Ret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0.0554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0.0934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0.875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0.504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(4.6949)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(6.3089)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(3.7860)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(1.8370)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0.0105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0.0191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0.00312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0.00622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(1.0780)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(1.5504)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(0.3295)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(0.5324)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GGF=0 # DR=1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0.0131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-0.0295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-0.00367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(0.7144)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(-1.5705)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(-0.2063)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(-0.6843)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Ret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-0.0217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0.00602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-0.0232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0.000240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(-1.6032)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(0.3680)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(-1.7125)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(0.0152)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DR=1 # Ret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0.00893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0.179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0.103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(0.1382)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(2.7668)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(1.6478)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(1.1648)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656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5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63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53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Industry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Province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4952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4951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4947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4949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656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0.0618</w:t>
            </w:r>
          </w:p>
        </w:tc>
        <w:tc>
          <w:tcPr>
            <w:tcW w:w="155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0.0797</w:t>
            </w:r>
          </w:p>
        </w:tc>
        <w:tc>
          <w:tcPr>
            <w:tcW w:w="1663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0.164</w:t>
            </w:r>
          </w:p>
        </w:tc>
        <w:tc>
          <w:tcPr>
            <w:tcW w:w="1753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0.223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  <w:r>
        <w:rPr>
          <w:rFonts w:hint="eastAsia"/>
          <w:b w:val="0"/>
          <w:bCs w:val="0"/>
          <w:u w:val="none"/>
          <w:lang w:val="en-US" w:eastAsia="zh-Hans"/>
        </w:rPr>
        <w:t>从回归结果来看</w:t>
      </w:r>
      <w:r>
        <w:rPr>
          <w:rFonts w:hint="default"/>
          <w:b w:val="0"/>
          <w:bCs w:val="0"/>
          <w:u w:val="none"/>
          <w:lang w:eastAsia="zh-Hans"/>
        </w:rPr>
        <w:t>，</w:t>
      </w:r>
      <w:r>
        <w:rPr>
          <w:rFonts w:hint="eastAsia"/>
          <w:b w:val="0"/>
          <w:bCs w:val="0"/>
          <w:u w:val="none"/>
          <w:lang w:val="en-US" w:eastAsia="zh-Hans"/>
        </w:rPr>
        <w:t>政府补助对引导基金持股影响的调节作用并不明确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按公司战略得分分组回归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8"/>
        <w:gridCol w:w="1517"/>
        <w:gridCol w:w="1488"/>
        <w:gridCol w:w="1640"/>
        <w:gridCol w:w="19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7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1488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164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Strategy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Strategy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Strategy (Control)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Strategy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1517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0.0475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488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-0.00148</w:t>
            </w:r>
          </w:p>
        </w:tc>
        <w:tc>
          <w:tcPr>
            <w:tcW w:w="164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0.139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0.0427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(2.4467)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(-0.0755)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(1.5216)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(0.6702)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0.0199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0.0179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-0.0827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-0.234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(4.6779)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(4.2278)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(-0.8287)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(-3.1022)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DR=1 # Ret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0.0544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0.109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0.323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0.680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(4.0962)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(8.8844)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(1.1874)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(3.2331)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0.00585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0.0232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-0.00286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0.00444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(0.4274)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(2.2758)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(-0.2135)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(0.4700)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GGF=0 # DR=1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-0.0499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0.00507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-0.0363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0.00706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(-2.5090)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(0.2537)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(-1.8685)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(0.3841)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Ret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0.0385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-0.0239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0.0282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(1.4564)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(-2.1250)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(1.0879)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(-1.1522)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DR=1 # Ret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0.184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0.00696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0.141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-0.0328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(2.8948)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(0.0938)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(2.2799)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(-0.4803)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1517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88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40" w:type="dxa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Industry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Province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5655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4673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5654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1517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0.0712</w:t>
            </w:r>
          </w:p>
        </w:tc>
        <w:tc>
          <w:tcPr>
            <w:tcW w:w="1488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0.103</w:t>
            </w:r>
          </w:p>
        </w:tc>
        <w:tc>
          <w:tcPr>
            <w:tcW w:w="1640" w:type="dxa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0.162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0.280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  <w:r>
        <w:rPr>
          <w:rFonts w:hint="eastAsia"/>
          <w:b w:val="0"/>
          <w:bCs w:val="0"/>
          <w:u w:val="single"/>
          <w:lang w:val="en-US" w:eastAsia="zh-Hans"/>
        </w:rPr>
        <w:t>只有公司战略较为激进的一组</w:t>
      </w:r>
      <w:r>
        <w:rPr>
          <w:rFonts w:hint="default"/>
          <w:b w:val="0"/>
          <w:bCs w:val="0"/>
          <w:u w:val="single"/>
          <w:lang w:eastAsia="zh-Hans"/>
        </w:rPr>
        <w:t>，</w:t>
      </w:r>
      <w:r>
        <w:rPr>
          <w:rFonts w:hint="eastAsia"/>
          <w:b w:val="0"/>
          <w:bCs w:val="0"/>
          <w:u w:val="single"/>
          <w:lang w:val="en-US" w:eastAsia="zh-Hans"/>
        </w:rPr>
        <w:t>引导基金对会计稳健性有正向作用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八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按研发投入强度分组回归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4"/>
        <w:gridCol w:w="1243"/>
        <w:gridCol w:w="1195"/>
        <w:gridCol w:w="1983"/>
        <w:gridCol w:w="1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(3)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R&amp;D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R&amp;D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R&amp;D (Control)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Low R&amp;D (Control)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0.0630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-0.0135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0.0266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-0.0634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(4.8918)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(-0.7703)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(0.4491)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(-0.8616)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0.0195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0.0272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0.0946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-0.527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(7.4750)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(6.3370)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(1.6946)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(-5.8710)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0.0576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0.0549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-0.251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0.728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(6.7667)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(4.4562)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(-1.4568)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(3.2177)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0.00784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0.0291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-0.00225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0.0226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(1.0157)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(2.5209)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(-0.3051)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(2.0400)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GGF=0 # DR=1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-0.0603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0.0103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-0.0255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(-4.5784)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(0.5740)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(-2.0064)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(0.6171)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-0.0189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-0.00321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-0.00655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-0.00851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(-1.7318)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(-0.2076)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(-0.6081)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(-0.5574)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GGF=1 # DR=1 # Ret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0.348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-0.00173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0.142</w:t>
            </w: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***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-0.00865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(8.0172)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(-0.0308)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(3.3323)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(-0.1624)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Control Variables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Industry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Industry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Province </w:t>
            </w:r>
            <w:r>
              <w:rPr>
                <w:rFonts w:hint="default" w:ascii="zapf dingbats" w:hAnsi="zapf dingbats" w:eastAsia="zapf dingbats" w:cs="zapf dingbats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✖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Year FE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Obs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5664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5678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5653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5675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adjusted-R2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0.128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0.0772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0.248</w:t>
            </w:r>
          </w:p>
        </w:tc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4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0.212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statistics in parentheses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0.10,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0.05, </w:t>
      </w:r>
      <w:r>
        <w:rPr>
          <w:rFonts w:ascii="Times New Roman" w:hAnsi="Times New Roman" w:cs="Times New Roman"/>
          <w:kern w:val="0"/>
          <w:sz w:val="20"/>
          <w:szCs w:val="20"/>
          <w:vertAlign w:val="superscript"/>
          <w:lang w:val="en-US" w:eastAsia="zh-CN" w:bidi="ar"/>
        </w:rPr>
        <w:t>***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 w:eastAsia="zh-CN" w:bidi="ar"/>
        </w:rPr>
        <w:t>p</w:t>
      </w:r>
      <w:r>
        <w:rPr>
          <w:rFonts w:ascii="Times New Roman" w:hAnsi="Times New Roman" w:cs="Times New Roman"/>
          <w:kern w:val="0"/>
          <w:sz w:val="20"/>
          <w:szCs w:val="20"/>
          <w:lang w:val="en-US" w:eastAsia="zh-CN" w:bidi="ar"/>
        </w:rPr>
        <w:t xml:space="preserve"> &lt; 0.01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single"/>
          <w:lang w:val="en-US" w:eastAsia="zh-Hans"/>
        </w:rPr>
      </w:pPr>
      <w:r>
        <w:rPr>
          <w:rFonts w:hint="eastAsia"/>
          <w:b w:val="0"/>
          <w:bCs w:val="0"/>
          <w:u w:val="single"/>
          <w:lang w:val="en-US" w:eastAsia="zh-Hans"/>
        </w:rPr>
        <w:t>引导基金持股有助于高研发投入的企业提高会计稳健性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single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single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zapf dingbats">
    <w:panose1 w:val="05020102010704020609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F48B3"/>
    <w:rsid w:val="595F48B3"/>
    <w:rsid w:val="7FB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60" w:beforeLines="0" w:beforeAutospacing="0" w:after="12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Theme="majorEastAsia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uiPriority w:val="0"/>
    <w:rPr>
      <w:sz w:val="24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p4"/>
    <w:basedOn w:val="1"/>
    <w:uiPriority w:val="0"/>
    <w:pPr>
      <w:spacing w:before="0" w:beforeAutospacing="0" w:after="0" w:afterAutospacing="0"/>
      <w:ind w:left="0" w:right="0"/>
      <w:jc w:val="center"/>
    </w:pPr>
    <w:rPr>
      <w:rFonts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4">
    <w:name w:val="p2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6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7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0"/>
      <w:sz w:val="20"/>
      <w:szCs w:val="20"/>
      <w:lang w:val="en-US" w:eastAsia="zh-CN" w:bidi="ar"/>
    </w:rPr>
  </w:style>
  <w:style w:type="character" w:customStyle="1" w:styleId="18">
    <w:name w:val="s1"/>
    <w:basedOn w:val="12"/>
    <w:uiPriority w:val="0"/>
    <w:rPr>
      <w:rFonts w:ascii="zapf dingbats" w:hAnsi="zapf dingbats" w:eastAsia="zapf dingbats" w:cs="zapf dingbat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2022-09-05T15:09:00Z</dcterms:created>
  <dc:creator>香酥奶油饼</dc:creator>
  <cp:lastModifiedBy>香酥奶油饼</cp:lastModifiedBy>
  <dcterms:modified xsi:type="dcterms:W3CDTF">2022-09-05T17:10:14Z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418DB6A92826525FAAA01563150AD970</vt:lpwstr>
  </property>
</Properties>
</file>