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Default Extension="png" ContentType="image/png"/>
</Types>
</file>

<file path=_rels/.rels><?xml version="1.0" encoding="UTF-8" standalone="yes"?><Relationships xmlns="http://schemas.openxmlformats.org/package/2006/relationships"><Relationship Id="r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rPr/>
        <w:t xml:space="preserve">Bologna coding evidence report</w:t>
      </w:r>
    </w:p>
    <w:p>
      <w:pPr>
        <w:pStyle w:val="Subtitle"/>
      </w:pPr>
      <w:r>
        <w:rPr/>
        <w:t xml:space="preserve">Qualitative Content Analysis</w:t>
      </w:r>
    </w:p>
    <w:p>
      <w:pPr>
        <w:pStyle w:val="Meta"/>
      </w:pPr>
      <w:r>
        <w:rPr/>
        <w:t xml:space="preserve">Saved version 1 · 2026-10-20</w:t>
      </w:r>
    </w:p>
    <w:p>
      <w:pPr>
        <w:pStyle w:val="Heading1"/>
      </w:pPr>
      <w:r>
        <w:rPr/>
        <w:t xml:space="preserve">Research design</w:t>
      </w:r>
    </w:p>
    <w:p>
      <w:pPr>
        <w:pStyle w:val="Heading2"/>
      </w:pPr>
      <w:r>
        <w:rPr/>
        <w:t xml:space="preserve">Research question</w:t>
      </w:r>
    </w:p>
    <w:p>
      <w:pPr>
        <w:pStyle w:val="Normal"/>
      </w:pPr>
      <w:r>
        <w:rPr/>
        <w:t xml:space="preserve">How are research materials described in this saved Bologna coding record?</w:t>
      </w:r>
    </w:p>
    <w:p>
      <w:pPr>
        <w:pStyle w:val="Normal"/>
      </w:pPr>
      <w:r>
        <w:rPr/>
      </w:r>
      <w:r>
        <w:rPr>
          <w:b/>
        </w:rPr>
        <w:t xml:space="preserve">Case definition — </w:t>
      </w:r>
      <w:r>
        <w:rPr/>
        <w:t xml:space="preserve">This English teaching subset contains selected translated passages from three public Bologna interviews. The Notebook covers all excerpts selected from interview02.txt, not the full original interview.</w:t>
      </w:r>
    </w:p>
    <w:p>
      <w:pPr>
        <w:pStyle w:val="Heading2"/>
      </w:pPr>
      <w:r>
        <w:rPr/>
        <w:t xml:space="preserve">Method and decisions</w:t>
      </w:r>
    </w:p>
    <w:p>
      <w:pPr>
        <w:pStyle w:val="Normal"/>
      </w:pPr>
      <w:r>
        <w:rPr/>
        <w:t xml:space="preserve">Method used: Qualitative Content Analysis</w:t>
      </w:r>
    </w:p>
    <w:p>
      <w:pPr>
        <w:pStyle w:val="Heading3"/>
      </w:pPr>
      <w:r>
        <w:rPr/>
        <w:t xml:space="preserve">Analytic approach</w:t>
      </w:r>
    </w:p>
    <w:p>
      <w:pPr>
        <w:pStyle w:val="Normal"/>
      </w:pPr>
      <w:r>
        <w:rPr/>
        <w:t xml:space="preserve">Qualitative Content Analysis</w:t>
      </w:r>
    </w:p>
    <w:p>
      <w:pPr>
        <w:pStyle w:val="Heading3"/>
      </w:pPr>
      <w:r>
        <w:rPr/>
        <w:t xml:space="preserve">Analysis unit</w:t>
      </w:r>
    </w:p>
    <w:p>
      <w:pPr>
        <w:pStyle w:val="Normal"/>
      </w:pPr>
      <w:r>
        <w:rPr/>
        <w:t xml:space="preserve">An existing quotation and its saved code path, read in the context of the full source document.</w:t>
      </w:r>
    </w:p>
    <w:p>
      <w:pPr>
        <w:pStyle w:val="Heading3"/>
      </w:pPr>
      <w:r>
        <w:rPr/>
        <w:t xml:space="preserve">Approach and decisions</w:t>
      </w:r>
    </w:p>
    <w:p>
      <w:pPr>
        <w:pStyle w:val="Normal"/>
      </w:pPr>
      <w:r>
        <w:rPr/>
        <w:t xml:space="preserve">This is a worked software example using translated Bologna excerpts and source-linked teaching associations. Translated offsets refer to the English teaching documents, not the Italian originals. This is not a new empirical analysis. Table labels retain the saved ancestry. Method steps show the workflow; unchecked review stages remain unconfirmed.</w:t>
      </w:r>
    </w:p>
    <w:p>
      <w:pPr>
        <w:pStyle w:val="Heading2"/>
        <w:pageBreakBefore/>
      </w:pPr>
      <w:r>
        <w:rPr/>
        <w:t xml:space="preserve">Method map M1</w:t>
      </w:r>
    </w:p>
    <w:p>
      <w:pPr>
        <w:pStyle w:val="ChapterNote"/>
      </w:pPr>
      <w:r>
        <w:rPr/>
        <w:t xml:space="preserve">Qualitative Content Analysis</w:t>
      </w:r>
    </w:p>
    <w:p>
      <w:pPr>
        <w:pStyle w:val="Meta"/>
      </w:pPr>
      <w:r>
        <w:rPr/>
        <w:t xml:space="preserve">Procedure overview, not a completion record. Record your approach and decisions; researcher confirmations remain separate.</w:t>
      </w:r>
    </w:p>
    <w:p>
      <w:pPr>
        <w:pStyle w:val="Normal"/>
        <w:keepNext/>
        <w:spacing w:before="60" w:after="60" w:line="260" w:lineRule="auto"/>
        <w:ind w:left="240" w:right="240"/>
        <w:pBdr>
          <w:left w:val="single" w:sz="12" w:space="10" w:color="4B607C"/>
        </w:pBdr>
        <w:shd w:val="clear" w:fill="F7F8F6"/>
      </w:pPr>
      <w:r>
        <w:rPr/>
      </w:r>
      <w:r>
        <w:rPr>
          <w:sz w:val="23"/>
          <w:b/>
          <w:rFonts w:ascii="Calibri" w:hAnsi="Calibri"/>
        </w:rPr>
        <w:t xml:space="preserve">01  Declare unit and approach</w:t>
      </w:r>
      <w:r>
        <w:rPr>
          <w:sz w:val="21"/>
        </w:rPr>
        <w:br/>
        <w:t xml:space="preserve">Document what is analysed and the chosen content analysis approach.</w:t>
      </w:r>
    </w:p>
    <w:p>
      <w:pPr>
        <w:pStyle w:val="Meta"/>
        <w:keepNext/>
        <w:spacing w:before="0" w:after="0" w:line="160" w:lineRule="auto"/>
        <w:jc w:val="center"/>
      </w:pPr>
      <w:r>
        <w:rPr/>
        <w:t xml:space="preserve">↓</w:t>
      </w:r>
    </w:p>
    <w:p>
      <w:pPr>
        <w:pStyle w:val="Normal"/>
        <w:keepNext/>
        <w:spacing w:before="60" w:after="60" w:line="260" w:lineRule="auto"/>
        <w:ind w:left="240" w:right="240"/>
        <w:pBdr>
          <w:left w:val="single" w:sz="12" w:space="10" w:color="4B607C"/>
        </w:pBdr>
        <w:shd w:val="clear" w:fill="F7F8F6"/>
      </w:pPr>
      <w:r>
        <w:rPr/>
      </w:r>
      <w:r>
        <w:rPr>
          <w:sz w:val="23"/>
          <w:b/>
          <w:rFonts w:ascii="Calibri" w:hAnsi="Calibri"/>
        </w:rPr>
        <w:t xml:space="preserve">02  Select meaning units</w:t>
      </w:r>
      <w:r>
        <w:rPr>
          <w:sz w:val="21"/>
        </w:rPr>
        <w:br/>
        <w:t xml:space="preserve">Identify relevant passages while retaining their surrounding context.</w:t>
      </w:r>
    </w:p>
    <w:p>
      <w:pPr>
        <w:pStyle w:val="Meta"/>
        <w:keepNext/>
        <w:spacing w:before="0" w:after="0" w:line="160" w:lineRule="auto"/>
        <w:jc w:val="center"/>
      </w:pPr>
      <w:r>
        <w:rPr/>
        <w:t xml:space="preserve">↓</w:t>
      </w:r>
    </w:p>
    <w:p>
      <w:pPr>
        <w:pStyle w:val="Normal"/>
        <w:keepNext/>
        <w:spacing w:before="60" w:after="60" w:line="260" w:lineRule="auto"/>
        <w:ind w:left="240" w:right="240"/>
        <w:pBdr>
          <w:left w:val="single" w:sz="12" w:space="10" w:color="4B607C"/>
        </w:pBdr>
        <w:shd w:val="clear" w:fill="F7F8F6"/>
      </w:pPr>
      <w:r>
        <w:rPr/>
      </w:r>
      <w:r>
        <w:rPr>
          <w:sz w:val="23"/>
          <w:b/>
          <w:rFonts w:ascii="Calibri" w:hAnsi="Calibri"/>
        </w:rPr>
        <w:t xml:space="preserve">03  Condense when appropriate</w:t>
      </w:r>
      <w:r>
        <w:rPr>
          <w:sz w:val="21"/>
        </w:rPr>
        <w:br/>
        <w:t xml:space="preserve">Shorten meaning units only when this fits the analytic design.</w:t>
      </w:r>
    </w:p>
    <w:p>
      <w:pPr>
        <w:pStyle w:val="Meta"/>
        <w:keepNext/>
        <w:spacing w:before="0" w:after="0" w:line="160" w:lineRule="auto"/>
        <w:jc w:val="center"/>
      </w:pPr>
      <w:r>
        <w:rPr/>
        <w:t xml:space="preserve">↓</w:t>
      </w:r>
    </w:p>
    <w:p>
      <w:pPr>
        <w:pStyle w:val="Normal"/>
        <w:keepNext/>
        <w:spacing w:before="60" w:after="60" w:line="260" w:lineRule="auto"/>
        <w:ind w:left="240" w:right="240"/>
        <w:pBdr>
          <w:left w:val="single" w:sz="12" w:space="10" w:color="4B607C"/>
        </w:pBdr>
        <w:shd w:val="clear" w:fill="F7F8F6"/>
      </w:pPr>
      <w:r>
        <w:rPr/>
      </w:r>
      <w:r>
        <w:rPr>
          <w:sz w:val="23"/>
          <w:b/>
          <w:rFonts w:ascii="Calibri" w:hAnsi="Calibri"/>
        </w:rPr>
        <w:t xml:space="preserve">04  Code and review categories</w:t>
      </w:r>
      <w:r>
        <w:rPr>
          <w:sz w:val="21"/>
        </w:rPr>
        <w:br/>
        <w:t xml:space="preserve">Compare codes and refine categories with explicit analytic decisions.</w:t>
      </w:r>
    </w:p>
    <w:p>
      <w:pPr>
        <w:pStyle w:val="Meta"/>
        <w:keepNext/>
        <w:spacing w:before="0" w:after="0" w:line="160" w:lineRule="auto"/>
        <w:jc w:val="center"/>
      </w:pPr>
      <w:r>
        <w:rPr/>
        <w:t xml:space="preserve">↓</w:t>
      </w:r>
    </w:p>
    <w:p>
      <w:pPr>
        <w:pStyle w:val="Normal"/>
        <w:keepNext/>
        <w:spacing w:before="60" w:after="60" w:line="260" w:lineRule="auto"/>
        <w:ind w:left="240" w:right="240"/>
        <w:pBdr>
          <w:left w:val="single" w:sz="12" w:space="10" w:color="4B607C"/>
        </w:pBdr>
        <w:shd w:val="clear" w:fill="F7F8F6"/>
      </w:pPr>
      <w:r>
        <w:rPr/>
      </w:r>
      <w:r>
        <w:rPr>
          <w:sz w:val="23"/>
          <w:b/>
          <w:rFonts w:ascii="Calibri" w:hAnsi="Calibri"/>
        </w:rPr>
        <w:t xml:space="preserve">05  Interpret in context</w:t>
      </w:r>
      <w:r>
        <w:rPr>
          <w:sz w:val="21"/>
        </w:rPr>
        <w:br/>
        <w:t xml:space="preserve">Consider meaning and abstraction; themes are optional, design-dependent.</w:t>
      </w:r>
    </w:p>
    <w:p>
      <w:pPr>
        <w:pStyle w:val="Meta"/>
        <w:keepNext/>
        <w:spacing w:before="0" w:after="0" w:line="160" w:lineRule="auto"/>
        <w:jc w:val="center"/>
      </w:pPr>
      <w:r>
        <w:rPr/>
        <w:t xml:space="preserve">↓</w:t>
      </w:r>
    </w:p>
    <w:p>
      <w:pPr>
        <w:pStyle w:val="Normal"/>
        <w:keepNext/>
        <w:spacing w:before="60" w:after="60" w:line="260" w:lineRule="auto"/>
        <w:ind w:left="240" w:right="240"/>
        <w:pBdr>
          <w:left w:val="single" w:sz="12" w:space="10" w:color="4B607C"/>
        </w:pBdr>
        <w:shd w:val="clear" w:fill="F7F8F6"/>
      </w:pPr>
      <w:r>
        <w:rPr/>
      </w:r>
      <w:r>
        <w:rPr>
          <w:sz w:val="23"/>
          <w:b/>
          <w:rFonts w:ascii="Calibri" w:hAnsi="Calibri"/>
        </w:rPr>
        <w:t xml:space="preserve">06  Write with evidence</w:t>
      </w:r>
      <w:r>
        <w:rPr>
          <w:sz w:val="21"/>
        </w:rPr>
        <w:br/>
        <w:t xml:space="preserve">Connect categories, interpretation and source quotations in the report.</w:t>
      </w:r>
    </w:p>
    <w:p>
      <w:pPr>
        <w:pStyle w:val="Meta"/>
      </w:pPr>
      <w:r>
        <w:rPr/>
        <w:t xml:space="preserve">Revisit 05 → 02 · Select meaning units</w:t>
      </w:r>
    </w:p>
    <w:p>
      <w:pPr>
        <w:pStyle w:val="Meta"/>
      </w:pPr>
      <w:r>
        <w:rPr/>
        <w:t xml:space="preserve">Content analysis is a complete method. It is not a compulsory preliminary stage for TA or Comparative QCA.</w:t>
      </w:r>
    </w:p>
    <w:p>
      <w:pPr>
        <w:pStyle w:val="Heading3"/>
      </w:pPr>
      <w:r>
        <w:rPr/>
        <w:t xml:space="preserve">Method sources</w:t>
      </w:r>
    </w:p>
    <w:p>
      <w:pPr>
        <w:pStyle w:val="Meta"/>
      </w:pPr>
      <w:r>
        <w:rPr/>
        <w:t xml:space="preserve">Graneheim and Lundman (2004) · concepts and procedures</w:t>
        <w:br/>
        <w:t xml:space="preserve">https://doi.org/10.1016/j.nedt.2003.10.001</w:t>
      </w:r>
    </w:p>
    <w:p>
      <w:pPr>
        <w:pStyle w:val="Meta"/>
      </w:pPr>
      <w:r>
        <w:rPr/>
        <w:t xml:space="preserve">Saved report version 1</w:t>
        <w:br/>
        <w:t xml:space="preserve">method-map schema v1</w:t>
        <w:br/>
        <w:t xml:space="preserve">Coding source SHA256 41dc40a938873e1710d074b85f545f008812e4865616a74f8dc4f54df8a7f3d6</w:t>
      </w:r>
    </w:p>
    <w:p>
      <w:pPr>
        <w:pStyle w:val="Heading1"/>
        <w:pageBreakBefore/>
      </w:pPr>
      <w:r>
        <w:rPr/>
        <w:t xml:space="preserve">Findings</w:t>
      </w:r>
    </w:p>
    <w:p>
      <w:pPr>
        <w:pStyle w:val="Heading2"/>
      </w:pPr>
      <w:r>
        <w:rPr/>
        <w:t xml:space="preserve">Analysis Table</w:t>
      </w:r>
    </w:p>
    <w:p>
      <w:pPr>
        <w:pStyle w:val="ChapterNote"/>
      </w:pPr>
      <w:r>
        <w:rPr/>
        <w:t xml:space="preserve">Themes Categories and Codes</w:t>
      </w:r>
    </w:p>
    <w:tbl>
      <w:tblPr>
        <w:tblW w:w="102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50" w:type="dxa"/>
          <w:bottom w:w="150" w:type="dxa"/>
          <w:left w:w="160" w:type="dxa"/>
          <w:right w:w="160" w:type="dxa"/>
        </w:tblCellMar>
      </w:tblPr>
      <w:tblGrid>
        <w:gridCol w:w="2800"/>
        <w:gridCol w:w="2800"/>
        <w:gridCol w:w="4660"/>
      </w:tblGrid>
      <w:tr>
        <w:trPr>
          <w:tblHeader/>
          <w:cantSplit/>
        </w:trPr>
        <w:tc>
          <w:tcPr>
            <w:tcW w:w="2800" w:type="dxa"/>
            <w:vAlign w:val="center"/>
            <w:shd w:fill="263746" w:val="clear"/>
          </w:tcPr>
          <w:p>
            <w:pPr>
              <w:spacing w:before="0" w:after="0" w:line="280" w:lineRule="auto"/>
              <w:keepNext/>
            </w:pPr>
            <w:r>
              <w:rPr>
                <w:sz w:val="21"/>
                <w:b/>
                <w:color w:val="FFFFFF"/>
                <w:rFonts w:ascii="Calibri" w:hAnsi="Calibri"/>
              </w:rPr>
              <w:t xml:space="preserve">Themes</w:t>
            </w:r>
          </w:p>
        </w:tc>
        <w:tc>
          <w:tcPr>
            <w:tcW w:w="2800" w:type="dxa"/>
            <w:vAlign w:val="center"/>
            <w:shd w:fill="263746" w:val="clear"/>
          </w:tcPr>
          <w:p>
            <w:pPr>
              <w:spacing w:before="0" w:after="0" w:line="280" w:lineRule="auto"/>
              <w:keepNext/>
            </w:pPr>
            <w:r>
              <w:rPr>
                <w:sz w:val="21"/>
                <w:b/>
                <w:color w:val="FFFFFF"/>
                <w:rFonts w:ascii="Calibri" w:hAnsi="Calibri"/>
              </w:rPr>
              <w:t xml:space="preserve">Categories</w:t>
            </w:r>
          </w:p>
        </w:tc>
        <w:tc>
          <w:tcPr>
            <w:tcW w:w="4660" w:type="dxa"/>
            <w:vAlign w:val="center"/>
            <w:shd w:fill="263746" w:val="clear"/>
          </w:tcPr>
          <w:p>
            <w:pPr>
              <w:spacing w:before="0" w:after="0" w:line="280" w:lineRule="auto"/>
              <w:keepNext/>
            </w:pPr>
            <w:r>
              <w:rPr>
                <w:sz w:val="21"/>
                <w:b/>
                <w:color w:val="FFFFFF"/>
                <w:rFonts w:ascii="Calibri" w:hAnsi="Calibri"/>
              </w:rPr>
              <w:t xml:space="preserve">Codes</w:t>
            </w:r>
          </w:p>
        </w:tc>
      </w:tr>
      <w:tr>
        <w:trPr>
          <w:cantSplit/>
        </w:trPr>
        <w:tc>
          <w:tcPr>
            <w:tcW w:w="2800" w:type="dxa"/>
            <w:vAlign w:val="center"/>
            <w:shd w:fill="FFFFFF" w:val="clear"/>
          </w:tcPr>
          <w:p>
            <w:pPr>
              <w:spacing w:before="0" w:after="0" w:line="280" w:lineRule="auto"/>
            </w:pPr>
            <w:r>
              <w:rPr>
                <w:sz w:val="21"/>
                <w:color w:val="000000"/>
                <w:rFonts w:ascii="Georgia" w:hAnsi="Georgia"/>
              </w:rPr>
              <w:t xml:space="preserve">materials</w:t>
            </w:r>
          </w:p>
        </w:tc>
        <w:tc>
          <w:tcPr>
            <w:tcW w:w="2800" w:type="dxa"/>
            <w:vAlign w:val="center"/>
            <w:shd w:fill="FFFFFF" w:val="clear"/>
          </w:tcPr>
          <w:p>
            <w:pPr>
              <w:spacing w:before="0" w:after="0" w:line="280" w:lineRule="auto"/>
            </w:pPr>
            <w:r>
              <w:rPr>
                <w:sz w:val="21"/>
                <w:color w:val="000000"/>
                <w:rFonts w:ascii="Georgia" w:hAnsi="Georgia"/>
              </w:rPr>
              <w:t xml:space="preserve">ancient manuscripts and early printed books</w:t>
            </w:r>
          </w:p>
        </w:tc>
        <w:tc>
          <w:tcPr>
            <w:tcW w:w="4660" w:type="dxa"/>
            <w:vAlign w:val="center"/>
            <w:shd w:fill="FFFFFF" w:val="clear"/>
          </w:tcPr>
          <w:p>
            <w:pPr>
              <w:spacing w:before="0" w:after="0" w:line="280" w:lineRule="auto"/>
            </w:pPr>
            <w:r>
              <w:rPr>
                <w:sz w:val="21"/>
                <w:color w:val="000000"/>
                <w:rFonts w:ascii="Georgia" w:hAnsi="Georgia"/>
              </w:rPr>
              <w:t xml:space="preserve">printed books and manuscripts from the Renaissance</w:t>
            </w:r>
          </w:p>
        </w:tc>
      </w:tr>
      <w:tr>
        <w:trPr>
          <w:cantSplit/>
        </w:trPr>
        <w:tc>
          <w:tcPr>
            <w:tcW w:w="2800" w:type="dxa"/>
            <w:vAlign w:val="center"/>
            <w:shd w:fill="F6F7F8" w:val="clear"/>
          </w:tcPr>
          <w:p>
            <w:pPr>
              <w:spacing w:before="0" w:after="0" w:line="280" w:lineRule="auto"/>
            </w:pPr>
            <w:r>
              <w:rPr>
                <w:sz w:val="21"/>
                <w:color w:val="000000"/>
                <w:rFonts w:ascii="Georgia" w:hAnsi="Georgia"/>
              </w:rPr>
              <w:t xml:space="preserve">materials</w:t>
            </w:r>
          </w:p>
        </w:tc>
        <w:tc>
          <w:tcPr>
            <w:tcW w:w="2800" w:type="dxa"/>
            <w:vAlign w:val="center"/>
            <w:shd w:fill="F6F7F8" w:val="clear"/>
          </w:tcPr>
          <w:p>
            <w:pPr>
              <w:spacing w:before="0" w:after="0" w:line="280" w:lineRule="auto"/>
            </w:pPr>
            <w:r>
              <w:rPr>
                <w:sz w:val="21"/>
                <w:color w:val="000000"/>
                <w:rFonts w:ascii="Georgia" w:hAnsi="Georgia"/>
              </w:rPr>
              <w:t xml:space="preserve">publications, modern and contemporary &gt; publications stemming from the project &gt; critical editions &gt; structure of a critical edition</w:t>
            </w:r>
          </w:p>
        </w:tc>
        <w:tc>
          <w:tcPr>
            <w:tcW w:w="4660" w:type="dxa"/>
            <w:vAlign w:val="center"/>
            <w:shd w:fill="F6F7F8" w:val="clear"/>
          </w:tcPr>
          <w:p>
            <w:pPr>
              <w:spacing w:before="0" w:after="0" w:line="280" w:lineRule="auto"/>
            </w:pPr>
            <w:r>
              <w:rPr>
                <w:sz w:val="21"/>
                <w:color w:val="000000"/>
                <w:rFonts w:ascii="Georgia" w:hAnsi="Georgia"/>
              </w:rPr>
              <w:t xml:space="preserve">critically-reconstructed text</w:t>
            </w:r>
          </w:p>
        </w:tc>
      </w:tr>
      <w:tr>
        <w:trPr>
          <w:cantSplit/>
        </w:trPr>
        <w:tc>
          <w:tcPr>
            <w:tcW w:w="2800" w:type="dxa"/>
            <w:vAlign w:val="center"/>
            <w:shd w:fill="FFFFFF" w:val="clear"/>
          </w:tcPr>
          <w:p>
            <w:pPr>
              <w:spacing w:before="0" w:after="0" w:line="280" w:lineRule="auto"/>
            </w:pPr>
            <w:r>
              <w:rPr>
                <w:sz w:val="21"/>
                <w:color w:val="000000"/>
                <w:rFonts w:ascii="Georgia" w:hAnsi="Georgia"/>
              </w:rPr>
              <w:t xml:space="preserve">materials</w:t>
            </w:r>
          </w:p>
        </w:tc>
        <w:tc>
          <w:tcPr>
            <w:tcW w:w="2800" w:type="dxa"/>
            <w:vAlign w:val="center"/>
            <w:shd w:fill="FFFFFF" w:val="clear"/>
          </w:tcPr>
          <w:p>
            <w:pPr>
              <w:spacing w:before="0" w:after="0" w:line="280" w:lineRule="auto"/>
            </w:pPr>
            <w:r>
              <w:rPr>
                <w:sz w:val="21"/>
                <w:color w:val="000000"/>
                <w:rFonts w:ascii="Georgia" w:hAnsi="Georgia"/>
              </w:rPr>
              <w:t xml:space="preserve">digital representations of cultural objects &gt; pros of using facsimiles and photographs</w:t>
            </w:r>
          </w:p>
        </w:tc>
        <w:tc>
          <w:tcPr>
            <w:tcW w:w="4660" w:type="dxa"/>
            <w:vAlign w:val="center"/>
            <w:shd w:fill="FFFFFF" w:val="clear"/>
          </w:tcPr>
          <w:p>
            <w:pPr>
              <w:spacing w:before="0" w:after="0" w:line="280" w:lineRule="auto"/>
            </w:pPr>
            <w:r>
              <w:rPr>
                <w:sz w:val="21"/>
                <w:color w:val="000000"/>
                <w:rFonts w:ascii="Georgia" w:hAnsi="Georgia"/>
              </w:rPr>
              <w:t xml:space="preserve">digitisation has changed the way of working on the documents</w:t>
            </w:r>
          </w:p>
        </w:tc>
      </w:tr>
    </w:tbl>
    <w:p/>
    <w:p>
      <w:pPr>
        <w:pStyle w:val="Heading2"/>
      </w:pPr>
      <w:r>
        <w:rPr/>
        <w:t xml:space="preserve">Narrative Analysis</w:t>
      </w:r>
    </w:p>
    <w:p>
      <w:pPr>
        <w:pStyle w:val="Normal"/>
      </w:pPr>
      <w:r>
        <w:rPr/>
        <w:t xml:space="preserve">The selected passages describe different forms of research material. Their saved paths place these distinctions inside the materials group. Read the exact quotations before judging how well each code fits. [E2] [E3] [E1]</w:t>
        <w:br/>
        <w:t xml:space="preserve">The five figures summarize all existing codings across the corpus. They support checking the record; they do not substitute for interpretation of the interviews.</w:t>
      </w:r>
    </w:p>
    <w:p>
      <w:pPr>
        <w:pStyle w:val="Heading3"/>
      </w:pPr>
      <w:r>
        <w:rPr/>
        <w:t xml:space="preserve">ancient manuscripts and early printed books</w:t>
      </w:r>
    </w:p>
    <w:p>
      <w:pPr>
        <w:pStyle w:val="Normal"/>
      </w:pPr>
      <w:r>
        <w:rPr/>
        <w:t xml:space="preserve">The saved code distinguishes a form of research material in this passage. [E2]</w:t>
      </w:r>
    </w:p>
    <w:p>
      <w:pPr>
        <w:pStyle w:val="Meta"/>
      </w:pPr>
      <w:r>
        <w:rPr/>
        <w:t xml:space="preserve">Table row 1 · Evidence E2</w:t>
      </w:r>
    </w:p>
    <w:p>
      <w:pPr>
        <w:pStyle w:val="Heading3"/>
      </w:pPr>
      <w:r>
        <w:rPr/>
        <w:t xml:space="preserve">publications, modern and contemporary &gt; publications stemming from the project &gt; critical editions &gt; structure of a critical edition</w:t>
      </w:r>
    </w:p>
    <w:p>
      <w:pPr>
        <w:pStyle w:val="Normal"/>
      </w:pPr>
      <w:r>
        <w:rPr/>
        <w:t xml:space="preserve">The saved code distinguishes a form of research material in this passage. [E3]</w:t>
      </w:r>
    </w:p>
    <w:p>
      <w:pPr>
        <w:pStyle w:val="Meta"/>
      </w:pPr>
      <w:r>
        <w:rPr/>
        <w:t xml:space="preserve">Table row 2 · Evidence E3</w:t>
      </w:r>
    </w:p>
    <w:p>
      <w:pPr>
        <w:pStyle w:val="Heading3"/>
      </w:pPr>
      <w:r>
        <w:rPr/>
        <w:t xml:space="preserve">digital representations of cultural objects &gt; pros of using facsimiles and photographs</w:t>
      </w:r>
    </w:p>
    <w:p>
      <w:pPr>
        <w:pStyle w:val="Normal"/>
      </w:pPr>
      <w:r>
        <w:rPr/>
        <w:t xml:space="preserve">The saved code distinguishes a form of research material in this passage. [E1]</w:t>
      </w:r>
    </w:p>
    <w:p>
      <w:pPr>
        <w:pStyle w:val="Meta"/>
      </w:pPr>
      <w:r>
        <w:rPr/>
        <w:t xml:space="preserve">Table row 3 · Evidence E1</w:t>
      </w:r>
    </w:p>
    <w:p>
      <w:pPr>
        <w:pStyle w:val="Heading1"/>
        <w:pageBreakBefore/>
      </w:pPr>
      <w:r>
        <w:rPr/>
        <w:t xml:space="preserve">Review and limitations</w:t>
      </w:r>
    </w:p>
    <w:p>
      <w:pPr>
        <w:pStyle w:val="Heading2"/>
      </w:pPr>
      <w:r>
        <w:rPr/>
        <w:t xml:space="preserve">Counterexamples and variation</w:t>
      </w:r>
    </w:p>
    <w:p>
      <w:pPr>
        <w:pStyle w:val="Normal"/>
      </w:pPr>
      <w:r>
        <w:rPr/>
        <w:t xml:space="preserve">Only selected material-related passages are interpreted here. Contrasting perspectives across the other interviews require further contextual reading.</w:t>
      </w:r>
    </w:p>
    <w:p>
      <w:pPr>
        <w:pStyle w:val="Heading2"/>
      </w:pPr>
      <w:r>
        <w:rPr/>
        <w:t xml:space="preserve">Limitations</w:t>
      </w:r>
    </w:p>
    <w:p>
      <w:pPr>
        <w:pStyle w:val="Normal"/>
      </w:pPr>
      <w:r>
        <w:rPr/>
        <w:t xml:space="preserve">This small writing example does not establish a complete analysis or saturation. Counts describe saved coding activity rather than importance or prevalence among people.</w:t>
      </w:r>
    </w:p>
    <w:p>
      <w:pPr>
        <w:pStyle w:val="Heading2"/>
      </w:pPr>
      <w:r>
        <w:rPr/>
        <w:t xml:space="preserve">Reflexivity</w:t>
      </w:r>
    </w:p>
    <w:p>
      <w:pPr>
        <w:pStyle w:val="Normal"/>
      </w:pPr>
      <w:r>
        <w:rPr/>
        <w:t xml:space="preserve">The short illustrative narrative was prepared for the QT demonstration. It is not an independently validated analysis of this corpus.</w:t>
      </w:r>
    </w:p>
    <w:p>
      <w:pPr>
        <w:pStyle w:val="Heading2"/>
      </w:pPr>
      <w:r>
        <w:rPr/>
        <w:t xml:space="preserve">Quality and review</w:t>
      </w:r>
    </w:p>
    <w:p>
      <w:pPr>
        <w:pStyle w:val="Normal"/>
      </w:pPr>
      <w:r>
        <w:rPr/>
        <w:t xml:space="preserve">Quoted characters and code identities were checked against the saved source. All five figures use only this three-document translated teaching subset and the unchanged counting rules.</w:t>
      </w:r>
    </w:p>
    <w:p>
      <w:pPr>
        <w:pStyle w:val="Heading2"/>
      </w:pPr>
      <w:r>
        <w:rPr/>
        <w:t xml:space="preserve">Research and assistance disclosure</w:t>
      </w:r>
    </w:p>
    <w:p>
      <w:pPr>
        <w:pStyle w:val="Normal"/>
      </w:pPr>
      <w:r>
        <w:rPr/>
        <w:t xml:space="preserve">Public Bologna CC0 data only. No private interviews or model calls were used. Editing the downloaded Word documents does not change the QT project.</w:t>
      </w:r>
    </w:p>
    <w:p>
      <w:pPr>
        <w:pStyle w:val="Heading1"/>
        <w:pageBreakBefore/>
      </w:pPr>
      <w:r>
        <w:rPr/>
        <w:t xml:space="preserve">Figures</w:t>
      </w:r>
    </w:p>
    <w:p>
      <w:pPr>
        <w:pStyle w:val="Heading2"/>
      </w:pPr>
      <w:r>
        <w:rPr/>
        <w:t xml:space="preserve">Figure 1</w:t>
      </w:r>
    </w:p>
    <w:p>
      <w:pPr>
        <w:spacing w:before="0" w:after="120" w:line="240" w:lineRule="auto"/>
        <w:jc w:val="center"/>
        <w:keepLines/>
        <w:keepNext/>
      </w:pPr>
      <w:r>
        <w:drawing>
          <wp:inline>
            <wp:extent cx="6126480" cy="3944086"/>
            <wp:docPr id="1001" name="Code frequency" descr="Code frequency"/>
            <a:graphic>
              <a:graphicData uri="http://schemas.openxmlformats.org/drawingml/2006/picture">
                <pic:pic>
                  <pic:nvPicPr>
                    <pic:cNvPr id="1001" name="image04301813b5fab397d8ea2cc1.png"/>
                    <pic:cNvPicPr/>
                  </pic:nvPicPr>
                  <pic:blipFill>
                    <a:blip r:embed="image04301813b5fab397d8ea2cc1"/>
                    <a:stretch>
                      <a:fillRect/>
                    </a:stretch>
                  </pic:blipFill>
                  <pic:spPr>
                    <a:xfrm>
                      <a:off x="0" y="0"/>
                      <a:ext cx="6126480" cy="3944086"/>
                    </a:xfrm>
                    <a:prstGeom prst="rect">
                      <a:avLst/>
                    </a:prstGeom>
                  </pic:spPr>
                </pic:pic>
              </a:graphicData>
            </a:graphic>
          </wp:inline>
        </w:drawing>
      </w:r>
    </w:p>
    <w:p>
      <w:pPr>
        <w:pStyle w:val="FigureCaption"/>
        <w:keepNext/>
      </w:pPr>
      <w:r>
        <w:rPr/>
      </w:r>
      <w:r>
        <w:rPr>
          <w:b/>
        </w:rPr>
        <w:t xml:space="preserve">Code frequency. </w:t>
      </w:r>
      <w:r>
        <w:rPr/>
        <w:t xml:space="preserve">Code frequency from the English translation teaching subset.</w:t>
      </w:r>
    </w:p>
    <w:p>
      <w:pPr>
        <w:pStyle w:val="Meta"/>
      </w:pPr>
      <w:r>
        <w:rPr/>
        <w:t xml:space="preserve">Counts passage-code assignments, not participants. Frequency is not importance.</w:t>
      </w:r>
    </w:p>
    <w:p>
      <w:pPr>
        <w:pStyle w:val="Heading2"/>
        <w:pageBreakBefore/>
      </w:pPr>
      <w:r>
        <w:rPr/>
        <w:t xml:space="preserve">Figure 2</w:t>
      </w:r>
    </w:p>
    <w:p>
      <w:pPr>
        <w:spacing w:before="0" w:after="120" w:line="240" w:lineRule="auto"/>
        <w:jc w:val="center"/>
        <w:keepLines/>
        <w:keepNext/>
      </w:pPr>
      <w:r>
        <w:drawing>
          <wp:inline>
            <wp:extent cx="6126480" cy="4544497"/>
            <wp:docPr id="2001" name="Code-by-interview matrix" descr="Code-by-interview matrix"/>
            <a:graphic>
              <a:graphicData uri="http://schemas.openxmlformats.org/drawingml/2006/picture">
                <pic:pic>
                  <pic:nvPicPr>
                    <pic:cNvPr id="2001" name="imagedacedbc1ffb0a2e0cf0c4fb5.png"/>
                    <pic:cNvPicPr/>
                  </pic:nvPicPr>
                  <pic:blipFill>
                    <a:blip r:embed="imagedacedbc1ffb0a2e0cf0c4fb5"/>
                    <a:stretch>
                      <a:fillRect/>
                    </a:stretch>
                  </pic:blipFill>
                  <pic:spPr>
                    <a:xfrm>
                      <a:off x="0" y="0"/>
                      <a:ext cx="6126480" cy="4544497"/>
                    </a:xfrm>
                    <a:prstGeom prst="rect">
                      <a:avLst/>
                    </a:prstGeom>
                  </pic:spPr>
                </pic:pic>
              </a:graphicData>
            </a:graphic>
          </wp:inline>
        </w:drawing>
      </w:r>
    </w:p>
    <w:p>
      <w:pPr>
        <w:pStyle w:val="FigureCaption"/>
        <w:keepNext/>
      </w:pPr>
      <w:r>
        <w:rPr/>
      </w:r>
      <w:r>
        <w:rPr>
          <w:b/>
        </w:rPr>
        <w:t xml:space="preserve">Code-by-interview matrix. </w:t>
      </w:r>
      <w:r>
        <w:rPr/>
        <w:t xml:space="preserve">Code by interview from the English translation teaching subset.</w:t>
      </w:r>
    </w:p>
    <w:p>
      <w:pPr>
        <w:pStyle w:val="Meta"/>
      </w:pPr>
      <w:r>
        <w:rPr/>
        <w:t xml:space="preserve">Counts passage-code assignments, not participants. Zero means no coding in this interview.</w:t>
      </w:r>
    </w:p>
    <w:p>
      <w:pPr>
        <w:pStyle w:val="Heading2"/>
        <w:pageBreakBefore/>
      </w:pPr>
      <w:r>
        <w:rPr/>
        <w:t xml:space="preserve">Figure 3</w:t>
      </w:r>
    </w:p>
    <w:p>
      <w:pPr>
        <w:spacing w:before="0" w:after="120" w:line="240" w:lineRule="auto"/>
        <w:jc w:val="center"/>
        <w:keepLines/>
        <w:keepNext/>
      </w:pPr>
      <w:r>
        <w:drawing>
          <wp:inline>
            <wp:extent cx="5615172" cy="5486400"/>
            <wp:docPr id="3001" name="Overlapping-range co-occurrence" descr="Overlapping-range co-occurrence"/>
            <a:graphic>
              <a:graphicData uri="http://schemas.openxmlformats.org/drawingml/2006/picture">
                <pic:pic>
                  <pic:nvPicPr>
                    <pic:cNvPr id="3001" name="image1c5a417cad78031c2d7b038e.png"/>
                    <pic:cNvPicPr/>
                  </pic:nvPicPr>
                  <pic:blipFill>
                    <a:blip r:embed="image1c5a417cad78031c2d7b038e"/>
                    <a:stretch>
                      <a:fillRect/>
                    </a:stretch>
                  </pic:blipFill>
                  <pic:spPr>
                    <a:xfrm>
                      <a:off x="0" y="0"/>
                      <a:ext cx="5615172" cy="5486400"/>
                    </a:xfrm>
                    <a:prstGeom prst="rect">
                      <a:avLst/>
                    </a:prstGeom>
                  </pic:spPr>
                </pic:pic>
              </a:graphicData>
            </a:graphic>
          </wp:inline>
        </w:drawing>
      </w:r>
    </w:p>
    <w:p>
      <w:pPr>
        <w:pStyle w:val="FigureCaption"/>
        <w:keepNext/>
      </w:pPr>
      <w:r>
        <w:rPr/>
      </w:r>
      <w:r>
        <w:rPr>
          <w:b/>
        </w:rPr>
        <w:t xml:space="preserve">Overlapping-range co-occurrence. </w:t>
      </w:r>
      <w:r>
        <w:rPr/>
        <w:t xml:space="preserve">Code co-occurrence from the English translation teaching subset.</w:t>
      </w:r>
    </w:p>
    <w:p>
      <w:pPr>
        <w:pStyle w:val="Meta"/>
      </w:pPr>
      <w:r>
        <w:rPr/>
        <w:t xml:space="preserve">Codes whose character ranges overlap within one interview. Descriptive; not correlation. Diagonal counts the units a code appears in, not pairs.</w:t>
      </w:r>
    </w:p>
    <w:p>
      <w:pPr>
        <w:pStyle w:val="Heading2"/>
        <w:pageBreakBefore/>
      </w:pPr>
      <w:r>
        <w:rPr/>
        <w:t xml:space="preserve">Figure 4</w:t>
      </w:r>
    </w:p>
    <w:p>
      <w:pPr>
        <w:spacing w:before="0" w:after="120" w:line="240" w:lineRule="auto"/>
        <w:jc w:val="center"/>
        <w:keepLines/>
        <w:keepNext/>
      </w:pPr>
      <w:r>
        <w:drawing>
          <wp:inline>
            <wp:extent cx="6126480" cy="4565652"/>
            <wp:docPr id="4001" name="Themes and named subthemes" descr="Themes and named subthemes"/>
            <a:graphic>
              <a:graphicData uri="http://schemas.openxmlformats.org/drawingml/2006/picture">
                <pic:pic>
                  <pic:nvPicPr>
                    <pic:cNvPr id="4001" name="image7d32c7cc8c56ee2dac44c71c.png"/>
                    <pic:cNvPicPr/>
                  </pic:nvPicPr>
                  <pic:blipFill>
                    <a:blip r:embed="image7d32c7cc8c56ee2dac44c71c"/>
                    <a:stretch>
                      <a:fillRect/>
                    </a:stretch>
                  </pic:blipFill>
                  <pic:spPr>
                    <a:xfrm>
                      <a:off x="0" y="0"/>
                      <a:ext cx="6126480" cy="4565652"/>
                    </a:xfrm>
                    <a:prstGeom prst="rect">
                      <a:avLst/>
                    </a:prstGeom>
                  </pic:spPr>
                </pic:pic>
              </a:graphicData>
            </a:graphic>
          </wp:inline>
        </w:drawing>
      </w:r>
    </w:p>
    <w:p>
      <w:pPr>
        <w:pStyle w:val="FigureCaption"/>
        <w:keepNext/>
      </w:pPr>
      <w:r>
        <w:rPr/>
      </w:r>
      <w:r>
        <w:rPr>
          <w:b/>
        </w:rPr>
        <w:t xml:space="preserve">Themes and named subthemes. </w:t>
      </w:r>
      <w:r>
        <w:rPr/>
        <w:t xml:space="preserve">Theme hierarchy from the English translation teaching subset.</w:t>
      </w:r>
    </w:p>
    <w:p>
      <w:pPr>
        <w:pStyle w:val="Meta"/>
      </w:pPr>
      <w:r>
        <w:rPr/>
        <w:t xml:space="preserve">Counts coded extracts per section and subsection, not participants.</w:t>
      </w:r>
    </w:p>
    <w:p>
      <w:pPr>
        <w:pStyle w:val="Heading2"/>
        <w:pageBreakBefore/>
      </w:pPr>
      <w:r>
        <w:rPr/>
        <w:t xml:space="preserve">Figure 5</w:t>
      </w:r>
    </w:p>
    <w:p>
      <w:pPr>
        <w:spacing w:before="0" w:after="120" w:line="240" w:lineRule="auto"/>
        <w:jc w:val="center"/>
        <w:keepLines/>
        <w:keepNext/>
      </w:pPr>
      <w:r>
        <w:drawing>
          <wp:inline>
            <wp:extent cx="6126480" cy="3838427"/>
            <wp:docPr id="5001" name="Code accumulation curve" descr="Code accumulation curve"/>
            <a:graphic>
              <a:graphicData uri="http://schemas.openxmlformats.org/drawingml/2006/picture">
                <pic:pic>
                  <pic:nvPicPr>
                    <pic:cNvPr id="5001" name="imagea09a752d3b5c52e1d52688fe.png"/>
                    <pic:cNvPicPr/>
                  </pic:nvPicPr>
                  <pic:blipFill>
                    <a:blip r:embed="imagea09a752d3b5c52e1d52688fe"/>
                    <a:stretch>
                      <a:fillRect/>
                    </a:stretch>
                  </pic:blipFill>
                  <pic:spPr>
                    <a:xfrm>
                      <a:off x="0" y="0"/>
                      <a:ext cx="6126480" cy="3838427"/>
                    </a:xfrm>
                    <a:prstGeom prst="rect">
                      <a:avLst/>
                    </a:prstGeom>
                  </pic:spPr>
                </pic:pic>
              </a:graphicData>
            </a:graphic>
          </wp:inline>
        </w:drawing>
      </w:r>
    </w:p>
    <w:p>
      <w:pPr>
        <w:pStyle w:val="FigureCaption"/>
        <w:keepNext/>
      </w:pPr>
      <w:r>
        <w:rPr/>
      </w:r>
      <w:r>
        <w:rPr>
          <w:b/>
        </w:rPr>
        <w:t xml:space="preserve">Code accumulation curve. </w:t>
      </w:r>
      <w:r>
        <w:rPr/>
        <w:t xml:space="preserve">Code accumulation from the English translation teaching subset.</w:t>
      </w:r>
    </w:p>
    <w:p>
      <w:pPr>
        <w:pStyle w:val="Meta"/>
      </w:pPr>
      <w:r>
        <w:rPr/>
        <w:t xml:space="preserve">Interviews in file-name order, not the order conducted. A plateau is not saturation.</w:t>
      </w:r>
    </w:p>
    <w:p>
      <w:pPr>
        <w:pStyle w:val="Heading1"/>
        <w:pageBreakBefore/>
      </w:pPr>
      <w:r>
        <w:rPr/>
        <w:t xml:space="preserve">Evidence appendix</w:t>
      </w:r>
    </w:p>
    <w:p>
      <w:pPr>
        <w:pStyle w:val="ChapterNote"/>
      </w:pPr>
      <w:r>
        <w:rPr/>
        <w:t xml:space="preserve">Verbatim quotations are italic. The E references connect them to the findings.</w:t>
      </w:r>
    </w:p>
    <w:p>
      <w:pPr>
        <w:pStyle w:val="Heading2"/>
      </w:pPr>
      <w:r>
        <w:rPr/>
        <w:t xml:space="preserve">E1 interview02-english-excerpts.txt</w:t>
      </w:r>
    </w:p>
    <w:p>
      <w:pPr>
        <w:pStyle w:val="EvidenceQuote"/>
        <w:keepNext/>
      </w:pPr>
      <w:r>
        <w:rPr/>
        <w:t xml:space="preserve">This is [something new] compared with when I began this kind of research. Fifteen years ago I would of course have had to go to the library. Now one edition has been digitised by Google Books, while for the 1502 edition we used the digitised print from the Bavarian State Library in Munich, which is an exceptional repository of early printed books. Seventy per cent of what we look for among incunabula, late-fifteenth-century printed books and sixteenth-century editions can be found there.</w:t>
      </w:r>
    </w:p>
    <w:p>
      <w:pPr>
        <w:pStyle w:val="Meta"/>
      </w:pPr>
      <w:r>
        <w:rPr/>
        <w:t xml:space="preserve">interview02-english-excerpts.txt · [402, 894)</w:t>
      </w:r>
    </w:p>
    <w:p>
      <w:pPr>
        <w:pStyle w:val="Heading2"/>
      </w:pPr>
      <w:r>
        <w:rPr/>
        <w:t xml:space="preserve">E2 interview02-english-excerpts.txt</w:t>
      </w:r>
    </w:p>
    <w:p>
      <w:pPr>
        <w:pStyle w:val="EvidenceQuote"/>
        <w:keepNext/>
      </w:pPr>
      <w:r>
        <w:rPr/>
        <w:t xml:space="preserve">So, moving on to the method, we worked on the printed text — on two printed editions, let us say.</w:t>
      </w:r>
    </w:p>
    <w:p>
      <w:pPr>
        <w:pStyle w:val="Meta"/>
      </w:pPr>
      <w:r>
        <w:rPr/>
        <w:t xml:space="preserve">interview02-english-excerpts.txt · [0, 97)</w:t>
      </w:r>
    </w:p>
    <w:p>
      <w:pPr>
        <w:pStyle w:val="Heading2"/>
      </w:pPr>
      <w:r>
        <w:rPr/>
        <w:t xml:space="preserve">E3 interview02-english-excerpts.txt</w:t>
      </w:r>
    </w:p>
    <w:p>
      <w:pPr>
        <w:pStyle w:val="EvidenceQuote"/>
        <w:keepNext/>
      </w:pPr>
      <w:r>
        <w:rPr/>
        <w:t xml:space="preserve">Sometimes there are errors that need to be corrected in the Latin text, or things that are not understood. Sometimes there are gaps because something was lost during printing, in the passage from manuscript to print, and so the text has to be critically restored with the help of two printed editions.</w:t>
      </w:r>
    </w:p>
    <w:p>
      <w:pPr>
        <w:pStyle w:val="Meta"/>
      </w:pPr>
      <w:r>
        <w:rPr/>
        <w:t xml:space="preserve">interview02-english-excerpts.txt · [99, 400)</w:t>
      </w:r>
    </w:p>
    <w:p>
      <w:pPr>
        <w:pStyle w:val="Heading1"/>
        <w:pageBreakBefore/>
      </w:pPr>
      <w:r>
        <w:rPr/>
        <w:t xml:space="preserve">Review record</w:t>
      </w:r>
    </w:p>
    <w:p>
      <w:pPr>
        <w:pStyle w:val="Heading2"/>
      </w:pPr>
      <w:r>
        <w:rPr/>
        <w:t xml:space="preserve">Researcher confirmations</w:t>
      </w:r>
    </w:p>
    <w:p>
      <w:pPr>
        <w:pStyle w:val="Meta"/>
      </w:pPr>
      <w:r>
        <w:rPr/>
        <w:t xml:space="preserve">Units · confirmed</w:t>
      </w:r>
    </w:p>
    <w:p>
      <w:pPr>
        <w:pStyle w:val="Meta"/>
      </w:pPr>
      <w:r>
        <w:rPr/>
        <w:t xml:space="preserve">Coding rules · not confirmed</w:t>
      </w:r>
    </w:p>
    <w:p>
      <w:pPr>
        <w:pStyle w:val="Meta"/>
      </w:pPr>
      <w:r>
        <w:rPr/>
        <w:t xml:space="preserve">Category development · not confirmed</w:t>
      </w:r>
    </w:p>
    <w:p>
      <w:pPr>
        <w:pStyle w:val="Meta"/>
      </w:pPr>
      <w:r>
        <w:rPr/>
        <w:t xml:space="preserve">Category review · not confirmed</w:t>
      </w:r>
    </w:p>
    <w:p>
      <w:pPr>
        <w:pStyle w:val="Meta"/>
      </w:pPr>
      <w:r>
        <w:rPr/>
        <w:t xml:space="preserve">Context · not confirmed</w:t>
      </w:r>
    </w:p>
    <w:p>
      <w:pPr>
        <w:pStyle w:val="Meta"/>
      </w:pPr>
      <w:r>
        <w:rPr/>
        <w:t xml:space="preserve">Writing · not confirmed</w:t>
      </w:r>
    </w:p>
    <w:p>
      <w:pPr>
        <w:pStyle w:val="Heading2"/>
      </w:pPr>
      <w:r>
        <w:rPr/>
        <w:t xml:space="preserve">Evidence identity</w:t>
      </w:r>
    </w:p>
    <w:p>
      <w:pPr>
        <w:pStyle w:val="Meta"/>
      </w:pPr>
      <w:r>
        <w:rPr/>
        <w:t xml:space="preserve">Report 970ff886243e408fa49a5e0c1b26bd4b</w:t>
        <w:br/>
        <w:t xml:space="preserve">Content SHA256 254609bb6f0cd7762d53719f24cd38637967a6debcff54e25039c68300ff408b</w:t>
        <w:br/>
        <w:t xml:space="preserve">Evidence SHA256 41dc40a938873e1710d074b85f545f008812e4865616a74f8dc4f54df8a7f3d6</w:t>
      </w:r>
    </w:p>
    <w:p>
      <w:pPr>
        <w:pStyle w:val="Meta"/>
      </w:pPr>
      <w:r>
        <w:rPr/>
        <w:t xml:space="preserve">External Word edits stay in Word. Restore the complete workspace from project JSON.</w:t>
      </w:r>
    </w:p>
    <w:p>
      <w:pPr>
        <w:pStyle w:val="RecordHeading"/>
      </w:pPr>
      <w:r>
        <w:rPr/>
        <w:t xml:space="preserve">E1 · interview02-english-excerpts.txt</w:t>
      </w:r>
    </w:p>
    <w:p>
      <w:pPr>
        <w:pStyle w:val="Meta"/>
      </w:pPr>
      <w:r>
        <w:rPr/>
        <w:t xml:space="preserve">Annotation 385e5468906559869404264689236561</w:t>
        <w:br/>
        <w:t xml:space="preserve">Document 8c17e627c7d85f7c8967047bfa92531b</w:t>
        <w:br/>
        <w:t xml:space="preserve">SHA256 be1817ce96cd101e2ecf98b1bdcb6cdd257b98251deb502633d002e00913e46a</w:t>
        <w:br/>
        <w:t xml:space="preserve">Code 72b86059824e4ed5973875f0ee7ddff3 · manual</w:t>
      </w:r>
    </w:p>
    <w:p>
      <w:pPr>
        <w:pStyle w:val="RecordHeading"/>
      </w:pPr>
      <w:r>
        <w:rPr/>
        <w:t xml:space="preserve">E2 · interview02-english-excerpts.txt</w:t>
      </w:r>
    </w:p>
    <w:p>
      <w:pPr>
        <w:pStyle w:val="Meta"/>
      </w:pPr>
      <w:r>
        <w:rPr/>
        <w:t xml:space="preserve">Annotation 3f029191a6885f0e9fdef6174d572dff</w:t>
        <w:br/>
        <w:t xml:space="preserve">Document 8c17e627c7d85f7c8967047bfa92531b</w:t>
        <w:br/>
        <w:t xml:space="preserve">SHA256 be1817ce96cd101e2ecf98b1bdcb6cdd257b98251deb502633d002e00913e46a</w:t>
        <w:br/>
        <w:t xml:space="preserve">Code 177098f805974bae8e589c1cb2fae553 · manual</w:t>
      </w:r>
    </w:p>
    <w:p>
      <w:pPr>
        <w:pStyle w:val="RecordHeading"/>
      </w:pPr>
      <w:r>
        <w:rPr/>
        <w:t xml:space="preserve">E3 · interview02-english-excerpts.txt</w:t>
      </w:r>
    </w:p>
    <w:p>
      <w:pPr>
        <w:pStyle w:val="Meta"/>
      </w:pPr>
      <w:r>
        <w:rPr/>
        <w:t xml:space="preserve">Annotation 9ebf2d198c4b5376b175ec0e8a4af023</w:t>
        <w:br/>
        <w:t xml:space="preserve">Document 8c17e627c7d85f7c8967047bfa92531b</w:t>
        <w:br/>
        <w:t xml:space="preserve">SHA256 be1817ce96cd101e2ecf98b1bdcb6cdd257b98251deb502633d002e00913e46a</w:t>
        <w:br/>
        <w:t xml:space="preserve">Code 6cb80dbc23ce489e8da9428666efe6a0 · manual</w:t>
      </w:r>
    </w:p>
    <w:p>
      <w:pPr>
        <w:pStyle w:val="RecordHeading"/>
      </w:pPr>
      <w:r>
        <w:rPr/>
        <w:t xml:space="preserve">Figure 1 · frequency</w:t>
      </w:r>
    </w:p>
    <w:p>
      <w:pPr>
        <w:pStyle w:val="Meta"/>
      </w:pPr>
      <w:r>
        <w:rPr/>
        <w:t xml:space="preserve">Asset SHA256 5672504a9e6bb4aada57abd22e518c201efdd158be37941dba0ed63001a262ca</w:t>
      </w:r>
    </w:p>
    <w:p>
      <w:pPr>
        <w:pStyle w:val="Meta"/>
      </w:pPr>
      <w:r>
        <w:rPr/>
        <w:t xml:space="preserve">Level code · top 15 · mode overlap · YlGnBu · 300 dpi</w:t>
        <w:br/>
        <w:t xml:space="preserve">Python 3.14.6 · matplotlib 3.11.2 · font DejaVu Sans</w:t>
      </w:r>
    </w:p>
    <w:p>
      <w:pPr>
        <w:pStyle w:val="RecordHeading"/>
      </w:pPr>
      <w:r>
        <w:rPr/>
        <w:t xml:space="preserve">Figure 2 · coverage</w:t>
      </w:r>
    </w:p>
    <w:p>
      <w:pPr>
        <w:pStyle w:val="Meta"/>
      </w:pPr>
      <w:r>
        <w:rPr/>
        <w:t xml:space="preserve">Asset SHA256 07b090cbcd0623c9fe23da5240f1a7371d0f96a621392022c02bab515289409b</w:t>
      </w:r>
    </w:p>
    <w:p>
      <w:pPr>
        <w:pStyle w:val="Meta"/>
      </w:pPr>
      <w:r>
        <w:rPr/>
        <w:t xml:space="preserve">Level code · top 15 · mode overlap · YlGnBu · 300 dpi</w:t>
        <w:br/>
        <w:t xml:space="preserve">Python 3.14.6 · matplotlib 3.11.2 · font DejaVu Sans</w:t>
      </w:r>
    </w:p>
    <w:p>
      <w:pPr>
        <w:pStyle w:val="RecordHeading"/>
      </w:pPr>
      <w:r>
        <w:rPr/>
        <w:t xml:space="preserve">Figure 3 · cooccurrence</w:t>
      </w:r>
    </w:p>
    <w:p>
      <w:pPr>
        <w:pStyle w:val="Meta"/>
      </w:pPr>
      <w:r>
        <w:rPr/>
        <w:t xml:space="preserve">Asset SHA256 06403d13c2e1e82da9251db7babecdfc4e1077785869eef7b7764f6d9d14b7fa</w:t>
      </w:r>
    </w:p>
    <w:p>
      <w:pPr>
        <w:pStyle w:val="Meta"/>
      </w:pPr>
      <w:r>
        <w:rPr/>
        <w:t xml:space="preserve">Level code · top 15 · mode overlap · YlGnBu · 300 dpi</w:t>
        <w:br/>
        <w:t xml:space="preserve">Python 3.14.6 · matplotlib 3.11.2 · font DejaVu Sans</w:t>
      </w:r>
    </w:p>
    <w:p>
      <w:pPr>
        <w:pStyle w:val="RecordHeading"/>
      </w:pPr>
      <w:r>
        <w:rPr/>
        <w:t xml:space="preserve">Figure 4 · hierarchy</w:t>
      </w:r>
    </w:p>
    <w:p>
      <w:pPr>
        <w:pStyle w:val="Meta"/>
      </w:pPr>
      <w:r>
        <w:rPr/>
        <w:t xml:space="preserve">Asset SHA256 97acc32af830a1c740a2d34970dd9174684713461e00a0fd651cf3c8b25f03ab</w:t>
      </w:r>
    </w:p>
    <w:p>
      <w:pPr>
        <w:pStyle w:val="Meta"/>
      </w:pPr>
      <w:r>
        <w:rPr/>
        <w:t xml:space="preserve">Level code · top 15 · mode overlap · YlGnBu · 300 dpi</w:t>
        <w:br/>
        <w:t xml:space="preserve">Python 3.14.6 · matplotlib 3.11.2 · font DejaVu Sans</w:t>
      </w:r>
    </w:p>
    <w:p>
      <w:pPr>
        <w:pStyle w:val="RecordHeading"/>
      </w:pPr>
      <w:r>
        <w:rPr/>
        <w:t xml:space="preserve">Figure 5 · accumulation</w:t>
      </w:r>
    </w:p>
    <w:p>
      <w:pPr>
        <w:pStyle w:val="Meta"/>
      </w:pPr>
      <w:r>
        <w:rPr/>
        <w:t xml:space="preserve">Asset SHA256 cbcb33c8e1983e9dfe40517949323d50b916607a7c8d1a067656af0b58a792d4</w:t>
      </w:r>
    </w:p>
    <w:p>
      <w:pPr>
        <w:pStyle w:val="Meta"/>
      </w:pPr>
      <w:r>
        <w:rPr/>
        <w:t xml:space="preserve">Level code · top 15 · mode overlap · YlGnBu · 300 dpi</w:t>
        <w:br/>
        <w:t xml:space="preserve">Python 3.14.6 · matplotlib 3.11.2 · font DejaVu Sans</w:t>
      </w:r>
    </w:p>
    <w:p>
      <w:pPr>
        <w:pStyle w:val="Meta"/>
      </w:pPr>
      <w:r>
        <w:rPr/>
        <w:t xml:space="preserve">Complete figure settings, numeric results and hashes are embedded in this document and included with the original recipes in the report ZIP.</w:t>
      </w:r>
    </w:p>
    <w:sectPr>
      <w:footerReference w:type="default" r:id="qtFooter"/>
      <w:pgSz w:w="11906" w:h="16838"/>
      <w:pgMar w:top="900" w:right="823" w:bottom="900" w:left="823" w:header="400" w:footer="400"/>
    </w:sectPr>
  </w:body>
</w:document>
</file>

<file path=word/footer1.xml><?xml version="1.0" encoding="utf-8"?>
<w:ftr xmlns:w="http://schemas.openxmlformats.org/wordprocessingml/2006/main">
  <w:p>
    <w:pPr>
      <w:pStyle w:val="PageFooter"/>
      <w:jc w:val="right"/>
    </w:pPr>
    <w:r>
      <w:rPr/>
      <w:t xml:space="preserve">QT Research report · </w:t>
    </w:r>
    <w:fldSimple w:instr="PAGE">
      <w:r>
        <w:rPr/>
        <w:t xml:space="preserve">1</w:t>
      </w:r>
    </w:fldSimple>
  </w:p>
</w:ftr>
</file>

<file path=word/styles.xml><?xml version="1.0" encoding="utf-8"?>
<w:styles xmlns:w="http://schemas.openxmlformats.org/wordprocessingml/2006/main">
  <w:docDefaults>
    <w:rPrDefault>
      <w:rPr>
        <w:rFonts w:ascii="Georgia" w:hAnsi="Georgia"/>
        <w:sz w:val="22"/>
        <w:color w:val="000000"/>
      </w:rPr>
    </w:rPrDefault>
  </w:docDefaults>
  <w:style w:type="paragraph" w:styleId="Normal" w:default="1">
    <w:name w:val="Normal"/>
    <w:pPr>
      <w:spacing w:before="0" w:after="140" w:line="320" w:lineRule="auto"/>
      <w:widowControl/>
    </w:pPr>
    <w:rPr>
      <w:rFonts w:ascii="Georgia" w:hAnsi="Georgia"/>
      <w:color w:val="000000"/>
      <w:sz w:val="22"/>
    </w:rPr>
  </w:style>
  <w:style w:type="paragraph" w:styleId="Title">
    <w:name w:val="Title"/>
    <w:basedOn w:val="Normal"/>
    <w:next w:val="Normal"/>
    <w:pPr>
      <w:spacing w:before="0" w:after="260" w:line="270" w:lineRule="auto"/>
      <w:widowControl/>
      <w:keepNext/>
      <w:keepLines/>
    </w:pPr>
    <w:rPr>
      <w:rFonts w:ascii="Calibri" w:hAnsi="Calibri"/>
      <w:b/>
      <w:color w:val="000000"/>
      <w:sz w:val="48"/>
    </w:rPr>
  </w:style>
  <w:style w:type="paragraph" w:styleId="Subtitle">
    <w:name w:val="Subtitle"/>
    <w:basedOn w:val="Normal"/>
    <w:next w:val="Normal"/>
    <w:pPr>
      <w:spacing w:before="0" w:after="180" w:line="300" w:lineRule="auto"/>
      <w:widowControl/>
      <w:keepNext/>
      <w:keepLines/>
    </w:pPr>
    <w:rPr>
      <w:rFonts w:ascii="Calibri" w:hAnsi="Calibri"/>
      <w:color w:val="000000"/>
      <w:sz w:val="25"/>
    </w:rPr>
  </w:style>
  <w:style w:type="paragraph" w:styleId="Heading1">
    <w:name w:val="heading 1"/>
    <w:basedOn w:val="Normal"/>
    <w:next w:val="Normal"/>
    <w:pPr>
      <w:spacing w:before="340" w:after="160" w:line="280" w:lineRule="auto"/>
      <w:widowControl/>
      <w:keepNext/>
      <w:keepLines/>
      <w:outlineLvl w:val="0"/>
    </w:pPr>
    <w:rPr>
      <w:rFonts w:ascii="Calibri" w:hAnsi="Calibri"/>
      <w:b/>
      <w:color w:val="000000"/>
      <w:sz w:val="34"/>
    </w:rPr>
  </w:style>
  <w:style w:type="paragraph" w:styleId="Heading2">
    <w:name w:val="heading 2"/>
    <w:basedOn w:val="Normal"/>
    <w:next w:val="Normal"/>
    <w:pPr>
      <w:spacing w:before="230" w:after="100" w:line="280" w:lineRule="auto"/>
      <w:widowControl/>
      <w:keepNext/>
      <w:keepLines/>
      <w:outlineLvl w:val="1"/>
    </w:pPr>
    <w:rPr>
      <w:rFonts w:ascii="Calibri" w:hAnsi="Calibri"/>
      <w:b/>
      <w:color w:val="000000"/>
      <w:sz w:val="26"/>
    </w:rPr>
  </w:style>
  <w:style w:type="paragraph" w:styleId="Heading3">
    <w:name w:val="heading 3"/>
    <w:basedOn w:val="Normal"/>
    <w:next w:val="Normal"/>
    <w:pPr>
      <w:spacing w:before="180" w:after="90" w:line="280" w:lineRule="auto"/>
      <w:widowControl/>
      <w:keepNext/>
      <w:keepLines/>
      <w:outlineLvl w:val="2"/>
    </w:pPr>
    <w:rPr>
      <w:rFonts w:ascii="Calibri" w:hAnsi="Calibri"/>
      <w:b/>
      <w:color w:val="000000"/>
      <w:sz w:val="23"/>
    </w:rPr>
  </w:style>
  <w:style w:type="paragraph" w:styleId="Meta">
    <w:name w:val="Record metadata"/>
    <w:basedOn w:val="Normal"/>
    <w:next w:val="Normal"/>
    <w:pPr>
      <w:spacing w:before="0" w:after="110" w:line="280" w:lineRule="auto"/>
      <w:widowControl/>
    </w:pPr>
    <w:rPr>
      <w:rFonts w:ascii="Calibri" w:hAnsi="Calibri"/>
      <w:color w:val="465566"/>
      <w:sz w:val="17"/>
    </w:rPr>
  </w:style>
  <w:style w:type="paragraph" w:styleId="SourceText">
    <w:name w:val="Verbatim source"/>
    <w:basedOn w:val="Normal"/>
    <w:next w:val="Normal"/>
    <w:pPr>
      <w:spacing w:before="0" w:after="180" w:line="300" w:lineRule="auto"/>
      <w:widowControl/>
    </w:pPr>
    <w:rPr>
      <w:rFonts w:ascii="Georgia" w:hAnsi="Georgia"/>
      <w:i/>
      <w:color w:val="000000"/>
      <w:sz w:val="22"/>
    </w:rPr>
  </w:style>
  <w:style w:type="paragraph" w:styleId="SourceQuestion">
    <w:name w:val="Explicit question"/>
    <w:basedOn w:val="SourceText"/>
    <w:next w:val="Normal"/>
    <w:pPr>
      <w:spacing w:before="0" w:after="180" w:line="300" w:lineRule="auto"/>
      <w:widowControl/>
      <w:keepLines/>
    </w:pPr>
    <w:rPr>
      <w:rFonts w:ascii="Georgia" w:hAnsi="Georgia"/>
      <w:b/>
      <w:color w:val="000000"/>
      <w:sz w:val="22"/>
    </w:rPr>
  </w:style>
  <w:style w:type="paragraph" w:styleId="EvidenceQuote">
    <w:name w:val="Verbatim evidence"/>
    <w:basedOn w:val="Normal"/>
    <w:next w:val="Normal"/>
    <w:pPr>
      <w:spacing w:before="100" w:after="180" w:line="320" w:lineRule="auto"/>
      <w:widowControl/>
      <w:ind w:left="240" w:right="240"/>
      <w:pBdr>
        <w:left w:val="single" w:sz="8" w:color="8194A5" w:space="9"/>
      </w:pBdr>
    </w:pPr>
    <w:rPr>
      <w:rFonts w:ascii="Georgia" w:hAnsi="Georgia"/>
      <w:i/>
      <w:color w:val="000000"/>
      <w:sz w:val="22"/>
    </w:rPr>
  </w:style>
  <w:style w:type="paragraph" w:styleId="PassageLabel">
    <w:name w:val="Source paragraph label"/>
    <w:basedOn w:val="Normal"/>
    <w:next w:val="Normal"/>
    <w:pPr>
      <w:spacing w:before="140" w:after="70" w:line="240" w:lineRule="auto"/>
      <w:widowControl/>
    </w:pPr>
    <w:rPr>
      <w:rFonts w:ascii="Calibri" w:hAnsi="Calibri"/>
      <w:b/>
      <w:color w:val="3C4F63"/>
      <w:sz w:val="17"/>
    </w:rPr>
  </w:style>
  <w:style w:type="paragraph" w:styleId="TreeRole">
    <w:name w:val="Coding tree role"/>
    <w:basedOn w:val="Normal"/>
    <w:next w:val="Normal"/>
    <w:pPr>
      <w:spacing w:before="0" w:after="30" w:line="240" w:lineRule="auto"/>
      <w:widowControl/>
      <w:keepNext/>
      <w:keepLines/>
    </w:pPr>
    <w:rPr>
      <w:rFonts w:ascii="Calibri" w:hAnsi="Calibri"/>
      <w:b/>
      <w:color w:val="000000"/>
      <w:sz w:val="16"/>
    </w:rPr>
  </w:style>
  <w:style w:type="paragraph" w:styleId="TreeName">
    <w:name w:val="Coding tree name"/>
    <w:basedOn w:val="Normal"/>
    <w:next w:val="Normal"/>
    <w:pPr>
      <w:spacing w:before="0" w:after="100" w:line="280" w:lineRule="auto"/>
      <w:widowControl/>
    </w:pPr>
    <w:rPr>
      <w:rFonts w:ascii="Georgia" w:hAnsi="Georgia"/>
      <w:color w:val="000000"/>
      <w:sz w:val="21"/>
    </w:rPr>
  </w:style>
  <w:style w:type="paragraph" w:styleId="FigureCaption">
    <w:name w:val="Figure caption"/>
    <w:basedOn w:val="Normal"/>
    <w:next w:val="Normal"/>
    <w:pPr>
      <w:spacing w:before="80" w:after="100" w:line="280" w:lineRule="auto"/>
      <w:widowControl/>
    </w:pPr>
    <w:rPr>
      <w:rFonts w:ascii="Georgia" w:hAnsi="Georgia"/>
      <w:color w:val="000000"/>
      <w:sz w:val="21"/>
    </w:rPr>
  </w:style>
  <w:style w:type="paragraph" w:styleId="PageFooter">
    <w:name w:val="Page navigation"/>
    <w:basedOn w:val="Normal"/>
    <w:next w:val="Normal"/>
    <w:pPr>
      <w:spacing w:before="0" w:after="0" w:line="240" w:lineRule="auto"/>
      <w:widowControl/>
    </w:pPr>
    <w:rPr>
      <w:rFonts w:ascii="Calibri" w:hAnsi="Calibri"/>
      <w:color w:val="465566"/>
      <w:sz w:val="17"/>
    </w:rPr>
  </w:style>
  <w:style w:type="paragraph" w:styleId="ChapterNote">
    <w:name w:val="Chapter guide"/>
    <w:basedOn w:val="Normal"/>
    <w:next w:val="Normal"/>
    <w:pPr>
      <w:spacing w:before="0" w:after="140" w:line="280" w:lineRule="auto"/>
      <w:widowControl/>
    </w:pPr>
    <w:rPr>
      <w:rFonts w:ascii="Calibri" w:hAnsi="Calibri"/>
      <w:color w:val="465566"/>
      <w:sz w:val="19"/>
    </w:rPr>
  </w:style>
  <w:style w:type="paragraph" w:styleId="RecordHeading">
    <w:name w:val="Record heading"/>
    <w:basedOn w:val="Normal"/>
    <w:next w:val="Normal"/>
    <w:pPr>
      <w:spacing w:before="100" w:after="50" w:line="260" w:lineRule="auto"/>
      <w:widowControl/>
      <w:keepNext/>
      <w:keepLines/>
      <w:outlineLvl w:val="2"/>
    </w:pPr>
    <w:rPr>
      <w:rFonts w:ascii="Calibri" w:hAnsi="Calibri"/>
      <w:b/>
      <w:color w:val="000000"/>
      <w:sz w:val="21"/>
    </w:rPr>
  </w:style>
</w:styles>
</file>

<file path=word/_rels/document.xml.rels><?xml version='1.0' encoding='utf-8'?>
<Relationships xmlns="http://schemas.openxmlformats.org/package/2006/relationships"><Relationship Id="r1" Type="http://schemas.openxmlformats.org/officeDocument/2006/relationships/styles" Target="styles.xml" /><Relationship Id="r2" Type="http://schemas.openxmlformats.org/officeDocument/2006/relationships/customXml" Target="../customXml/item1.xml" /><Relationship Id="image04301813b5fab397d8ea2cc1" Type="http://schemas.openxmlformats.org/officeDocument/2006/relationships/image" Target="media/image04301813b5fab397d8ea2cc1.png" /><Relationship Id="imagedacedbc1ffb0a2e0cf0c4fb5" Type="http://schemas.openxmlformats.org/officeDocument/2006/relationships/image" Target="media/imagedacedbc1ffb0a2e0cf0c4fb5.png" /><Relationship Id="image1c5a417cad78031c2d7b038e" Type="http://schemas.openxmlformats.org/officeDocument/2006/relationships/image" Target="media/image1c5a417cad78031c2d7b038e.png" /><Relationship Id="image7d32c7cc8c56ee2dac44c71c" Type="http://schemas.openxmlformats.org/officeDocument/2006/relationships/image" Target="media/image7d32c7cc8c56ee2dac44c71c.png" /><Relationship Id="imagea09a752d3b5c52e1d52688fe" Type="http://schemas.openxmlformats.org/officeDocument/2006/relationships/image" Target="media/imagea09a752d3b5c52e1d52688fe.png" /><Relationship Id="qtFigureRecords" Type="http://schemas.openxmlformats.org/officeDocument/2006/relationships/customXml" Target="../customXml/item2.xml" /><Relationship Id="qtFooter" Type="http://schemas.openxmlformats.org/officeDocument/2006/relationships/footer" Target="footer1.xml" /></Relationships>
</file>

<file path=customXml/item1.xml><?xml version="1.0" encoding="utf-8"?>
<report>{"bindings":{"codes":{"177098f805974bae8e589c1cb2fae553":{"id":"177098f805974bae8e589c1cb2fae553","name":"printed books and manuscripts from the Renaissance","path":"materials &gt; ancient manuscripts and early printed books &gt; printed books and manuscripts from the Renaissance"},"6cb80dbc23ce489e8da9428666efe6a0":{"id":"6cb80dbc23ce489e8da9428666efe6a0","name":"critically-reconstructed text","path":"materials &gt; publications, modern and contemporary &gt; publications stemming from the project &gt; critical editions &gt; structure of a critical edition &gt; critically-reconstructed text"},"72b86059824e4ed5973875f0ee7ddff3":{"id":"72b86059824e4ed5973875f0ee7ddff3","name":"digitisation has changed the way of working on the documents","path":"materials &gt; digital representations of cultural objects &gt; pros of using facsimiles and photographs &gt; digitisation has changed the way of working on the documents"}},"evidence":{"385e5468906559869404264689236561":{"code_id":"72b86059824e4ed5973875f0ee7ddff3","document_id":"8c17e627c7d85f7c8967047bfa92531b","document_name":"interview02-english-excerpts.txt","end":894,"id":"385e5468906559869404264689236561","quote":"This is [something new] compared with when I began this kind of research. Fifteen years ago I would of course have had to go to the library. Now one edition has been digitised by Google Books, while for the 1502 edition we used the digitised print from the Bavarian State Library in Munich, which is an exceptional repository of early printed books. Seventy per cent of what we look for among incunabula, late-fifteenth-century printed books and sixteenth-century editions can be found there.","sha256":"be1817ce96cd101e2ecf98b1bdcb6cdd257b98251deb502633d002e00913e46a","source":"manual","start":402},"3f029191a6885f0e9fdef6174d572dff":{"code_id":"177098f805974bae8e589c1cb2fae553","document_id":"8c17e627c7d85f7c8967047bfa92531b","document_name":"interview02-english-excerpts.txt","end":97,"id":"3f029191a6885f0e9fdef6174d572dff","quote":"So, moving on to the method, we worked on the printed text — on two printed editions, let us say.","sha256":"be1817ce96cd101e2ecf98b1bdcb6cdd257b98251deb502633d002e00913e46a","source":"manual","start":0},"9ebf2d198c4b5376b175ec0e8a4af023":{"code_id":"6cb80dbc23ce489e8da9428666efe6a0","document_id":"8c17e627c7d85f7c8967047bfa92531b","document_name":"interview02-english-excerpts.txt","end":400,"id":"9ebf2d198c4b5376b175ec0e8a4af023","quote":"Sometimes there are errors that need to be corrected in the Latin text, or things that are not understood. Sometimes there are gaps because something was lost during printing, in the passage from manuscript to print, and so the text has to be critically restored with the help of two printed editions.","sha256":"be1817ce96cd101e2ecf98b1bdcb6cdd257b98251deb502633d002e00913e46a","source":"manual","start":99}},"figures":{"example-accumulation":{"asset_id":"cbcb33c8e1983e9dfe40517949323d50b916607a7c8d1a067656af0b58a792d4","source_version":"41dc40a938873e1710d074b85f545f008812e4865616a74f8dc4f54df8a7f3d6"},"example-cooccurrence":{"asset_id":"06403d13c2e1e82da9251db7babecdfc4e1077785869eef7b7764f6d9d14b7fa","source_version":"41dc40a938873e1710d074b85f545f008812e4865616a74f8dc4f54df8a7f3d6"},"example-coverage":{"asset_id":"07b090cbcd0623c9fe23da5240f1a7371d0f96a621392022c02bab515289409b","source_version":"41dc40a938873e1710d074b85f545f008812e4865616a74f8dc4f54df8a7f3d6"},"example-frequency":{"asset_id":"5672504a9e6bb4aada57abd22e518c201efdd158be37941dba0ed63001a262ca","source_version":"41dc40a938873e1710d074b85f545f008812e4865616a74f8dc4f54df8a7f3d6"},"example-hierarchy":{"asset_id":"97acc32af830a1c740a2d34970dd9174684713461e00a0fd651cf3c8b25f03ab","source_version":"41dc40a938873e1710d074b85f545f008812e4865616a74f8dc4f54df8a7f3d6"}}},"content_hash":"254609bb6f0cd7762d53719f24cd38637967a6debcff54e25039c68300ff408b","draft":{"analysis_unit":"An existing quotation and its saved code path, read in the context of the full source document.","approach":"Qualitative Content Analysis","case_unit":"This English teaching subset contains selected translated passages from three public Bologna interviews. The Notebook covers all excerpts selected from interview02.txt, not the full original interview.","checks":{"category-development":false,"category-review":false,"coding-rules":false,"context":false,"units":true,"writing":false},"counterexamples":"Only selected material-related passages are interpreted here. Contrasting perspectives across the other interviews require further contextual reading.","disclosure":"Public Bologna CC0 data only. No private interviews or model calls were used. Editing the downloaded Word documents does not change the QT project.","figures":[{"caption":"Code frequency from the English translation teaching subset.","id":"example-frequency","options":{"annotate":true,"cluster":false,"color":"#73a89a","credit":"Counts passage-code assignments, not participants. Frequency is not importance.","dpi":300,"figsize":11.0,"font":"DejaVu Sans","fontsize":10,"kind":"frequency","level":"code","method":"ward","mode":"overlap","name":"figure_frequency","palette":"YlGnBu","subtitle":"","title":"Code frequency","top":15}},{"caption":"Code by interview from the English translation teaching subset.","id":"example-coverage","options":{"annotate":true,"cluster":false,"color":"#73a89a","credit":"Counts passage-code assignments, not participants. Zero means no coding in this interview.","dpi":300,"figsize":11.0,"font":"DejaVu Sans","fontsize":10,"kind":"coverage","level":"code","method":"ward","mode":"overlap","name":"figure_coverage","palette":"YlGnBu","subtitle":"","title":"Code-by-interview matrix","top":15}},{"caption":"Code co-occurrence from the English translation teaching subset.","id":"example-cooccurrence","options":{"annotate":true,"cluster":false,"color":"#73a89a","credit":"Codes whose character ranges overlap within one interview. Descriptive; not correlation. Diagonal counts the units a code appears in, not pairs.","dpi":300,"figsize":11.0,"font":"DejaVu Sans","fontsize":10,"kind":"cooccurrence","level":"code","method":"ward","mode":"overlap","name":"figure_cooccurrence","palette":"YlGnBu","subtitle":"Descriptive only: two codes sharing a range, not a correlation.","title":"Overlapping-range co-occurrence","top":15}},{"caption":"Theme hierarchy from the English translation teaching subset.","id":"example-hierarchy","options":{"annotate":true,"cluster":false,"color":"#73a89a","credit":"Counts coded extracts per section and subsection, not participants.","dpi":300,"figsize":11.0,"font":"DejaVu Sans","fontsize":10,"kind":"hierarchy","level":"code","method":"ward","mode":"overlap","name":"figure_hierarchy","palette":"YlGnBu","subtitle":"","title":"Themes and named subthemes","top":15}},{"caption":"Code accumulation from the English translation teaching subset.","id":"example-accumulation","options":{"annotate":true,"cluster":false,"color":"#73a89a","credit":"Interviews in file-name order, not the order conducted. A plateau is not saturation.","dpi":300,"figsize":11.0,"font":"DejaVu Sans","fontsize":10,"kind":"accumulation","level":"code","method":"ward","mode":"overlap","name":"figure_accumulation","palette":"YlGnBu","subtitle":"","title":"Code accumulation curve","top":15}}],"limitations":"This small writing example does not establish a complete analysis or saturation. Counts describe saved coding activity rather than importance or prevalence among people.","method":"content","method_notes":"This is a worked software example using translated Bologna excerpts and source-linked teaching associations. Translated offsets refer to the English teaching documents, not the Italian originals. This is not a new empirical analysis. Table labels retain the saved ancestry. Method steps show the workflow; unchecked review stages remain unconfirmed.","narrative":"The selected passages describe different forms of research material. Their saved paths place these distinctions inside the materials group. Read the exact quotations before judging how well each code fits. [E:3f029191a6885f0e9fdef6174d572dff] [E:9ebf2d198c4b5376b175ec0e8a4af023] [E:385e5468906559869404264689236561]\nThe five figures summarize all existing codings across the corpus. They support checking the record; they do not substitute for interpretation of the interviews.","quality_notes":"Quoted characters and code identities were checked against the saved source. All five figures use only this three-document translated teaching subset and the unchanged counting rules.","reflexivity":"The short illustrative narrative was prepared for the QT demonstration. It is not an independently validated analysis of this corpus.","research_question":"How are research materials described in this saved Bologna coding record?","rows":[{"category":"ancient manuscripts and early printed books","code_ids":["177098f805974bae8e589c1cb2fae553"],"evidence_ids":["3f029191a6885f0e9fdef6174d572dff"],"id":"example-row-1","interpretation":"The saved code distinguishes a form of research material in this passage. [E:3f029191a6885f0e9fdef6174d572dff]","theme":"materials"},{"category":"publications, modern and contemporary &gt; publications stemming from the project &gt; critical editions &gt; structure of a critical edition","code_ids":["6cb80dbc23ce489e8da9428666efe6a0"],"evidence_ids":["9ebf2d198c4b5376b175ec0e8a4af023"],"id":"example-row-2","interpretation":"The saved code distinguishes a form of research material in this passage. [E:9ebf2d198c4b5376b175ec0e8a4af023]","theme":"materials"},{"category":"digital representations of cultural objects &gt; pros of using facsimiles and photographs","code_ids":["72b86059824e4ed5973875f0ee7ddff3"],"evidence_ids":["385e5468906559869404264689236561"],"id":"example-row-3","interpretation":"The saved code distinguishes a form of research material in this passage. [E:385e5468906559869404264689236561]","theme":"materials"}],"title":"Bologna coding evidence report"},"id":"970ff886243e408fa49a5e0c1b26bd4b","method_map":{"links":[[1,2],[2,3],[3,4],[4,5],[5,6],[5,2]],"method":"content","name":"Qualitative Content Analysis","note":"Content analysis is a complete method. It is not a compulsory preliminary stage for TA or Comparative QCA.","references":[{"title":"Graneheim and Lundman (2004) · concepts and procedures","url":"https://doi.org/10.1016/j.nedt.2003.10.001"}],"steps":[{"detail":"Document what is analysed and the chosen content analysis approach.","id":1,"title":"Declare unit and approach"},{"detail":"Identify relevant passages while retaining their surrounding context.","id":2,"title":"Select meaning units"},{"detail":"Shorten meaning units only when this fits the analytic design.","id":3,"title":"Condense when appropriate"},{"detail":"Compare codes and refine categories with explicit analytic decisions.","id":4,"title":"Code and review categories"},{"detail":"Consider meaning and abstraction; themes are optional, design-dependent.","id":5,"title":"Interpret in context"},{"detail":"Connect categories, interpretation and source quotations in the report.","id":6,"title":"Write with evidence"}],"version":1},"restored_from":null,"revision":1,"saved_at":"2026-10-20T20:56:15.602261+00:00","source_version":"41dc40a938873e1710d074b85f545f008812e4865616a74f8dc4f54df8a7f3d6"}</report>
</file>

<file path=customXml/item2.xml><?xml version="1.0" encoding="utf-8"?>
<figure-records>{"example-accumulation":{"binding":{"asset_id":"cbcb33c8e1983e9dfe40517949323d50b916607a7c8d1a067656af0b58a792d4","source_version":"41dc40a938873e1710d074b85f545f008812e4865616a74f8dc4f54df8a7f3d6"},"environment":{"font":"DejaVu Sans","matplotlib":"3.11.2","python":"3.14.6","scipy":"not installed"},"members":{"figure.py":"f580d665b60f70c6207bd7e44a5be6c187c71af21a7d98906958a7972edc09f8","figure_accumulation.pdf":"925dd697c92781de60e021d8a7258c2413be9b7c9bfafc03a73cfd2ced5047a9","figure_accumulation.png":"a09a752d3b5c52e1d52688fe1a764f8e499e8bf692dbc00ca6b4bffa3757a66b","figure_accumulation.svg":"a93b57162c46bc08d5cb247bae17d4e6a9ca7cf49cd0c61206fdf9ca85e97616","figure_data.csv":"58c1b0854746b698bf97479f5e9642c5cce5e20b07fd9ea81492f1bb7af97879"},"options":{"annotate":true,"cluster":false,"color":"#73a89a","credit":"Interviews in file-name order, not the order conducted. A plateau is not saturation.","dpi":300,"figsize":11.0,"font":"DejaVu Sans","fontsize":10,"kind":"accumulation","level":"code","method":"ward","mode":"overlap","name":"figure_accumulation","palette":"YlGnBu","subtitle":"","title":"Code accumulation curve","top":15},"result":{"cases":["interview02-english-excerpts.txt","interview03-english-excerpts.txt","interview04-english-excerpts.txt"],"codings":11,"cumulative":[5,7,10],"kind":"accumulation"}},"example-cooccurrence":{"binding":{"asset_id":"06403d13c2e1e82da9251db7babecdfc4e1077785869eef7b7764f6d9d14b7fa","source_version":"41dc40a938873e1710d074b85f545f008812e4865616a74f8dc4f54df8a7f3d6"},"environment":{"font":"DejaVu Sans","matplotlib":"3.11.2","python":"3.14.6","scipy":"not installed"},"members":{"figure.py":"46b85d5dbab8c35b1eac39a30c4ac135691d5261ff650ce5f9ed84c5273dcd68","figure_cooccurrence.pdf":"3f343090907eacb3dce628567f1e1cc6691e1d96385fa2a27fd63be67264417a","figure_cooccurrence.png":"1c5a417cad78031c2d7b038efbcd4a0f407e2254bb67db5d70154d0c020e6119","figure_cooccurrence.svg":"dbe3bdab9e22bf39ed01dd0aeff23e5c5f8298962476be235943d33b461bb4c0","figure_data.csv":"7f040f6e0b9137f866b97903aa5214aab947bb20a6644d0e1139b282e6cad138"},"options":{"annotate":true,"cluster":false,"color":"#73a89a","credit":"Codes whose character ranges overlap within one interview. Descriptive; not correlation. Diagonal counts the units a code appears in, not pairs.","dpi":300,"figsize":11.0,"font":"DejaVu Sans","fontsize":10,"kind":"cooccurrence","level":"code","method":"ward","mode":"overlap","name":"figure_cooccurrence","palette":"YlGnBu","subtitle":"Descriptive only: two codes sharing a range, not a correlation.","title":"Overlapping-range co-occurrence","top":15},"result":{"codings":11,"kind":"cooccurrence","labels":["critically-reconstructed text","Google Books","Munich Staats Bibliotek","attitudes towards digital scholarly editions","difference between paleography and diplomatics","digitisation has changed the way of working on the documents","manuscripts from the Middle Ages","printed books and manuscripts from the Renaissance","stemma codicum","website for dissemination to the wider public"],"matrix":[[2,0,0,0,0,0,0,0,1,0],[0,1,0,0,0,1,0,0,0,0],[0,0,1,0,0,1,0,0,0,0],[0,0,0,1,0,0,0,0,0,0],[0,0,0,0,1,0,0,0,0,0],[0,1,1,0,0,1,0,0,0,0],[0,0,0,0,0,0,1,0,0,0],[0,0,0,0,0,0,0,1,0,0],[1,0,0,0,0,0,0,0,1,0],[0,0,0,0,0,0,0,0,0,1]],"mode":"overlap"}},"example-coverage":{"binding":{"asset_id":"07b090cbcd0623c9fe23da5240f1a7371d0f96a621392022c02bab515289409b","source_version":"41dc40a938873e1710d074b85f545f008812e4865616a74f8dc4f54df8a7f3d6"},"environment":{"font":"DejaVu Sans","matplotlib":"3.11.2","python":"3.14.6","scipy":"not installed"},"members":{"figure.py":"ada773385d5c1c9dafba4dc7dc64b597a8100c07b29916d77655f1ab9bd235f1","figure_coverage.pdf":"f4fb58029401bc99f33e6f21f9fb3828910a3529e73ec1cb0eacfabd4801a49f","figure_coverage.png":"dacedbc1ffb0a2e0cf0c4fb5b8dd9056eecdc475f66cf346eee6c881df35a885","figure_coverage.svg":"1092586d67705dcf1dc2bd9c6790a8475c940400a722ee0f0016f7659c230ca7","figure_data.csv":"e167f1fdbd3c347b28e95679e9123faa66564d2035be7518141c073c21046ad2"},"options":{"annotate":true,"cluster":false,"color":"#73a89a","credit":"Counts passage-code assignments, not participants. Zero means no coding in this interview.","dpi":300,"figsize":11.0,"font":"DejaVu Sans","fontsize":10,"kind":"coverage","level":"code","method":"ward","mode":"overlap","name":"figure_coverage","palette":"YlGnBu","subtitle":"","title":"Code-by-interview matrix","top":15},"result":{"cases":["interview02-english-excerpts.txt","interview03-english-excerpts.txt","interview04-english-excerpts.txt"],"codings":11,"kind":"coverage","labels":["critically-reconstructed text","Google Books","Munich Staats Bibliotek","attitudes towards digital scholarly editions","difference between paleography and diplomatics","digitisation has changed the way of working on the documents","manuscripts from the Middle Ages","printed books and manuscripts from the Renaissance","stemma codicum","website for dissemination to the wider public"],"matrix":[[1,1,1,0,0,1,0,1,0,0],[1,0,0,0,0,0,0,0,1,1],[0,0,0,1,1,0,1,0,0,0]]}},"example-frequency":{"binding":{"asset_id":"5672504a9e6bb4aada57abd22e518c201efdd158be37941dba0ed63001a262ca","source_version":"41dc40a938873e1710d074b85f545f008812e4865616a74f8dc4f54df8a7f3d6"},"environment":{"font":"DejaVu Sans","matplotlib":"3.11.2","python":"3.14.6","scipy":"not installed"},"members":{"figure.py":"cb9d0a4ace383338ab042e77788b7bc3a73bb564ef5368b8a8221a23ff1ef7ed","figure_data.csv":"735399c7d67eb3248f69f95ae227481ee9c8b215a516b0d8dd6b916d8c44385e","figure_frequency.pdf":"6c0d1bff65d57cc8ec73db2e07608bc1488bab11d675c02ab053794c74ddce7c","figure_frequency.png":"04301813b5fab397d8ea2cc1ee6be989d16d85dedf399d6485917d6c0fa3cade","figure_frequency.svg":"2343ab211d653ce68b369e98f2568b3737a0a4b110ce358aa01ca6a7c34d30cb"},"options":{"annotate":true,"cluster":false,"color":"#73a89a","credit":"Counts passage-code assignments, not participants. Frequency is not importance.","dpi":300,"figsize":11.0,"font":"DejaVu Sans","fontsize":10,"kind":"frequency","level":"code","method":"ward","mode":"overlap","name":"figure_frequency","palette":"YlGnBu","subtitle":"","title":"Code frequency","top":15},"result":{"codings":11,"counts":[2,1,1,1,1,1,1,1,1,1],"kind":"frequency","labels":["critically-reconstructed text","Google Books","Munich Staats Bibliotek","attitudes towards digital scholarly editions","difference between paleography and diplomatics","digitisation has changed the way of working on the documents","manuscripts from the Middle Ages","printed books and manuscripts from the Renaissance","stemma codicum","website for dissemination to the wider public"],"level":"code"}},"example-hierarchy":{"binding":{"asset_id":"97acc32af830a1c740a2d34970dd9174684713461e00a0fd651cf3c8b25f03ab","source_version":"41dc40a938873e1710d074b85f545f008812e4865616a74f8dc4f54df8a7f3d6"},"environment":{"font":"DejaVu Sans","matplotlib":"3.11.2","python":"3.14.6","scipy":"not installed"},"members":{"figure.py":"4b258b83cf7a0f04b41a611008b8dc38ef94e9cb6904e35d58b171510b73fa9c","figure_data.csv":"da348b4f960a9e8ea2d7a936fe55edae4ac827ee2751a6951b7a9ec070f2abab","figure_hierarchy.pdf":"d3a6392e24ae79c06b941ce0dad328d82ffd584dde597041991311dc46804e9f","figure_hierarchy.png":"7d32c7cc8c56ee2dac44c71c38ff3eec10888363a136973e13c0ef3b93ca8b68","figure_hierarchy.svg":"e95559cf1764037b85d544eecede8bf312d538185b9b8209b92c3c091f7adcad"},"options":{"annotate":true,"cluster":false,"color":"#73a89a","credit":"Counts coded extracts per section and subsection, not participants.","dpi":300,"figsize":11.0,"font":"DejaVu Sans","fontsize":10,"kind":"hierarchy","level":"code","method":"ward","mode":"overlap","name":"figure_hierarchy","palette":"YlGnBu","subtitle":"","title":"Themes and named subthemes","top":15},"result":{"codings":11,"hierarchy":{"materials":{"Google Books":1,"Munich Staats Bibliotek":1,"attitudes towards digital scholarly editions":1,"critically-reconstructed text":2,"digitisation has changed the way of working on the documents":1,"manuscripts from the Middle Ages":1,"printed books and manuscripts from the Renaissance":1,"stemma codicum":1,"website for dissemination to the wider public":1},"methodologies and workflows":{"difference between paleography and diplomatics":1}},"kind":"hierarchy"}}}</figure-records>
</file>